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88241" w14:textId="6201D54C" w:rsidR="008C7DD5" w:rsidRDefault="008C7DD5" w:rsidP="00604B76">
      <w:pPr>
        <w:pBdr>
          <w:bottom w:val="thickThinSmallGap" w:sz="24" w:space="1" w:color="auto"/>
        </w:pBdr>
        <w:jc w:val="center"/>
        <w:rPr>
          <w:rFonts w:ascii="Arial" w:hAnsi="Arial" w:cs="Arial"/>
          <w:b/>
          <w:sz w:val="28"/>
          <w:szCs w:val="28"/>
          <w:u w:val="single"/>
        </w:rPr>
      </w:pPr>
      <w:r>
        <w:rPr>
          <w:rFonts w:ascii="Arial" w:hAnsi="Arial" w:cs="Arial"/>
          <w:b/>
          <w:sz w:val="28"/>
          <w:szCs w:val="28"/>
          <w:u w:val="single"/>
        </w:rPr>
        <w:t xml:space="preserve">ATTACHMENT </w:t>
      </w:r>
      <w:r w:rsidR="001B0C3C">
        <w:rPr>
          <w:rFonts w:ascii="Arial" w:hAnsi="Arial" w:cs="Arial"/>
          <w:b/>
          <w:sz w:val="28"/>
          <w:szCs w:val="28"/>
          <w:u w:val="single"/>
        </w:rPr>
        <w:t>D</w:t>
      </w:r>
    </w:p>
    <w:p w14:paraId="4339945F" w14:textId="2D861DD4" w:rsidR="007D6F3C" w:rsidRPr="00C33EC9" w:rsidRDefault="00AD7F71" w:rsidP="00604B76">
      <w:pPr>
        <w:pBdr>
          <w:bottom w:val="thickThinSmallGap" w:sz="24" w:space="1" w:color="auto"/>
        </w:pBdr>
        <w:jc w:val="center"/>
        <w:rPr>
          <w:rFonts w:ascii="Arial" w:hAnsi="Arial" w:cs="Arial"/>
          <w:b/>
          <w:sz w:val="28"/>
          <w:szCs w:val="28"/>
          <w:u w:val="single"/>
        </w:rPr>
      </w:pPr>
      <w:r>
        <w:rPr>
          <w:rFonts w:ascii="Arial" w:hAnsi="Arial" w:cs="Arial"/>
          <w:b/>
          <w:sz w:val="28"/>
          <w:szCs w:val="28"/>
          <w:u w:val="single"/>
        </w:rPr>
        <w:t xml:space="preserve">DRAFT </w:t>
      </w:r>
      <w:r w:rsidR="00B87CBF">
        <w:rPr>
          <w:rFonts w:ascii="Arial" w:hAnsi="Arial" w:cs="Arial"/>
          <w:b/>
          <w:sz w:val="28"/>
          <w:szCs w:val="28"/>
          <w:u w:val="single"/>
        </w:rPr>
        <w:t>AGREEMENT</w:t>
      </w:r>
      <w:r w:rsidR="00547AB3" w:rsidRPr="00C33EC9">
        <w:rPr>
          <w:rFonts w:ascii="Arial" w:hAnsi="Arial" w:cs="Arial"/>
          <w:b/>
          <w:sz w:val="28"/>
          <w:szCs w:val="28"/>
          <w:u w:val="single"/>
        </w:rPr>
        <w:t xml:space="preserve"> FOR</w:t>
      </w:r>
      <w:r w:rsidR="006B29E6">
        <w:rPr>
          <w:rFonts w:ascii="Arial" w:hAnsi="Arial" w:cs="Arial"/>
          <w:b/>
          <w:sz w:val="28"/>
          <w:szCs w:val="28"/>
          <w:u w:val="single"/>
        </w:rPr>
        <w:t xml:space="preserve"> MICR PRINTER MAINTENANCE</w:t>
      </w:r>
      <w:r w:rsidR="00BA0DE5">
        <w:rPr>
          <w:rFonts w:ascii="Arial" w:hAnsi="Arial" w:cs="Arial"/>
          <w:b/>
          <w:sz w:val="28"/>
          <w:szCs w:val="28"/>
          <w:u w:val="single"/>
        </w:rPr>
        <w:t xml:space="preserve"> SERVICES</w:t>
      </w:r>
      <w:r w:rsidR="006B29E6">
        <w:rPr>
          <w:rFonts w:ascii="Arial" w:hAnsi="Arial" w:cs="Arial"/>
          <w:b/>
          <w:sz w:val="28"/>
          <w:szCs w:val="28"/>
          <w:u w:val="single"/>
        </w:rPr>
        <w:t>,</w:t>
      </w:r>
      <w:r w:rsidR="00BA0DE5">
        <w:rPr>
          <w:rFonts w:ascii="Arial" w:hAnsi="Arial" w:cs="Arial"/>
          <w:b/>
          <w:sz w:val="28"/>
          <w:szCs w:val="28"/>
          <w:u w:val="single"/>
        </w:rPr>
        <w:t xml:space="preserve"> REPAIRS, </w:t>
      </w:r>
      <w:r w:rsidR="004A3BA7">
        <w:rPr>
          <w:rFonts w:ascii="Arial" w:hAnsi="Arial" w:cs="Arial"/>
          <w:b/>
          <w:sz w:val="28"/>
          <w:szCs w:val="28"/>
          <w:u w:val="single"/>
        </w:rPr>
        <w:t>PARTS</w:t>
      </w:r>
      <w:r>
        <w:rPr>
          <w:rFonts w:ascii="Arial" w:hAnsi="Arial" w:cs="Arial"/>
          <w:b/>
          <w:sz w:val="28"/>
          <w:szCs w:val="28"/>
          <w:u w:val="single"/>
        </w:rPr>
        <w:t>,</w:t>
      </w:r>
      <w:r w:rsidR="004A3BA7">
        <w:rPr>
          <w:rFonts w:ascii="Arial" w:hAnsi="Arial" w:cs="Arial"/>
          <w:b/>
          <w:sz w:val="28"/>
          <w:szCs w:val="28"/>
          <w:u w:val="single"/>
        </w:rPr>
        <w:t xml:space="preserve"> </w:t>
      </w:r>
      <w:r w:rsidR="006B29E6">
        <w:rPr>
          <w:rFonts w:ascii="Arial" w:hAnsi="Arial" w:cs="Arial"/>
          <w:b/>
          <w:sz w:val="28"/>
          <w:szCs w:val="28"/>
          <w:u w:val="single"/>
        </w:rPr>
        <w:t xml:space="preserve">AND </w:t>
      </w:r>
      <w:r w:rsidR="002279A6">
        <w:rPr>
          <w:rFonts w:ascii="Arial" w:hAnsi="Arial" w:cs="Arial"/>
          <w:b/>
          <w:sz w:val="28"/>
          <w:szCs w:val="28"/>
          <w:u w:val="single"/>
        </w:rPr>
        <w:t>SUPPLIES</w:t>
      </w:r>
    </w:p>
    <w:p w14:paraId="30BD08EC" w14:textId="77777777" w:rsidR="003F7EDF" w:rsidRDefault="003F7EDF" w:rsidP="003F7EDF">
      <w:pPr>
        <w:pBdr>
          <w:bottom w:val="thickThinSmallGap" w:sz="24" w:space="1" w:color="auto"/>
        </w:pBdr>
        <w:rPr>
          <w:rFonts w:ascii="Arial" w:hAnsi="Arial" w:cs="Arial"/>
          <w:b/>
          <w:color w:val="FF0000"/>
          <w:sz w:val="28"/>
          <w:szCs w:val="28"/>
          <w:u w:val="single"/>
        </w:rPr>
      </w:pPr>
    </w:p>
    <w:p w14:paraId="2BDC493F" w14:textId="29D12C57" w:rsidR="001A25BD" w:rsidRPr="00C33EC9" w:rsidRDefault="00BF6D67" w:rsidP="00FC381B">
      <w:pPr>
        <w:spacing w:before="240" w:after="240" w:line="240" w:lineRule="auto"/>
        <w:rPr>
          <w:rFonts w:ascii="Arial" w:hAnsi="Arial" w:cs="Arial"/>
          <w:sz w:val="22"/>
          <w:szCs w:val="22"/>
        </w:rPr>
      </w:pPr>
      <w:r w:rsidRPr="00C33EC9">
        <w:rPr>
          <w:rFonts w:ascii="Arial" w:hAnsi="Arial" w:cs="Arial"/>
          <w:color w:val="000000"/>
          <w:sz w:val="22"/>
          <w:szCs w:val="22"/>
        </w:rPr>
        <w:t>T</w:t>
      </w:r>
      <w:r w:rsidR="00AC2621" w:rsidRPr="00C33EC9">
        <w:rPr>
          <w:rFonts w:ascii="Arial" w:hAnsi="Arial" w:cs="Arial"/>
          <w:color w:val="000000"/>
          <w:sz w:val="22"/>
          <w:szCs w:val="22"/>
        </w:rPr>
        <w:t xml:space="preserve">his </w:t>
      </w:r>
      <w:r w:rsidR="00B87CBF">
        <w:rPr>
          <w:rFonts w:ascii="Arial" w:hAnsi="Arial" w:cs="Arial"/>
          <w:color w:val="000000"/>
          <w:sz w:val="22"/>
          <w:szCs w:val="22"/>
        </w:rPr>
        <w:t>Agreement</w:t>
      </w:r>
      <w:r w:rsidR="00AA4F2F" w:rsidRPr="00C33EC9">
        <w:rPr>
          <w:rFonts w:ascii="Arial" w:hAnsi="Arial" w:cs="Arial"/>
          <w:b/>
          <w:color w:val="000000"/>
          <w:sz w:val="22"/>
          <w:szCs w:val="22"/>
        </w:rPr>
        <w:t xml:space="preserve"> </w:t>
      </w:r>
      <w:r w:rsidR="00AA4F2F" w:rsidRPr="00FD441B">
        <w:rPr>
          <w:rFonts w:ascii="Arial" w:hAnsi="Arial" w:cs="Arial"/>
          <w:color w:val="000000"/>
          <w:sz w:val="22"/>
          <w:szCs w:val="22"/>
        </w:rPr>
        <w:t>(“</w:t>
      </w:r>
      <w:r w:rsidR="00B87CBF">
        <w:rPr>
          <w:rFonts w:ascii="Arial" w:hAnsi="Arial" w:cs="Arial"/>
          <w:color w:val="000000"/>
          <w:sz w:val="22"/>
          <w:szCs w:val="22"/>
        </w:rPr>
        <w:t>Agreement</w:t>
      </w:r>
      <w:r w:rsidR="00C538EB" w:rsidRPr="00CF6E6D">
        <w:rPr>
          <w:rFonts w:ascii="Arial" w:hAnsi="Arial" w:cs="Arial"/>
          <w:color w:val="000000"/>
          <w:sz w:val="22"/>
          <w:szCs w:val="22"/>
        </w:rPr>
        <w:t>”)</w:t>
      </w:r>
      <w:r w:rsidR="006B29E6">
        <w:rPr>
          <w:rFonts w:ascii="Arial" w:hAnsi="Arial" w:cs="Arial"/>
          <w:color w:val="000000"/>
          <w:sz w:val="22"/>
          <w:szCs w:val="22"/>
        </w:rPr>
        <w:t xml:space="preserve"> </w:t>
      </w:r>
      <w:r w:rsidRPr="00C33EC9">
        <w:rPr>
          <w:rFonts w:ascii="Arial" w:hAnsi="Arial" w:cs="Arial"/>
          <w:color w:val="000000"/>
          <w:sz w:val="22"/>
          <w:szCs w:val="22"/>
        </w:rPr>
        <w:t xml:space="preserve">is between </w:t>
      </w:r>
      <w:r w:rsidRPr="00C33EC9">
        <w:rPr>
          <w:rFonts w:ascii="Arial" w:hAnsi="Arial" w:cs="Arial"/>
          <w:caps/>
          <w:color w:val="000000"/>
          <w:sz w:val="22"/>
          <w:szCs w:val="22"/>
        </w:rPr>
        <w:t>Citizens Property Insurance Corporation</w:t>
      </w:r>
      <w:r w:rsidRPr="00C33EC9">
        <w:rPr>
          <w:rFonts w:ascii="Arial" w:hAnsi="Arial" w:cs="Arial"/>
          <w:color w:val="000000"/>
          <w:sz w:val="22"/>
          <w:szCs w:val="22"/>
        </w:rPr>
        <w:t xml:space="preserve"> (“</w:t>
      </w:r>
      <w:r w:rsidR="00FF37ED" w:rsidRPr="00C33EC9">
        <w:rPr>
          <w:rFonts w:ascii="Arial" w:hAnsi="Arial" w:cs="Arial"/>
          <w:b/>
          <w:color w:val="000000"/>
          <w:sz w:val="22"/>
          <w:szCs w:val="22"/>
        </w:rPr>
        <w:t>Citizens</w:t>
      </w:r>
      <w:r w:rsidRPr="00C33EC9">
        <w:rPr>
          <w:rFonts w:ascii="Arial" w:hAnsi="Arial" w:cs="Arial"/>
          <w:color w:val="000000"/>
          <w:sz w:val="22"/>
          <w:szCs w:val="22"/>
        </w:rPr>
        <w:t xml:space="preserve">”), a legislatively created Florida governmental entity, having its principal place of business at </w:t>
      </w:r>
      <w:r w:rsidR="008703F1">
        <w:rPr>
          <w:rFonts w:ascii="Arial" w:hAnsi="Arial" w:cs="Arial"/>
          <w:color w:val="000000"/>
          <w:sz w:val="22"/>
          <w:szCs w:val="22"/>
        </w:rPr>
        <w:t>2101 Maryland Circle</w:t>
      </w:r>
      <w:r w:rsidR="00655107" w:rsidRPr="00C33EC9">
        <w:rPr>
          <w:rFonts w:ascii="Arial" w:hAnsi="Arial" w:cs="Arial"/>
          <w:color w:val="000000"/>
          <w:sz w:val="22"/>
          <w:szCs w:val="22"/>
        </w:rPr>
        <w:t>, Tallahassee, F</w:t>
      </w:r>
      <w:r w:rsidR="00FD441B">
        <w:rPr>
          <w:rFonts w:ascii="Arial" w:hAnsi="Arial" w:cs="Arial"/>
          <w:color w:val="000000"/>
          <w:sz w:val="22"/>
          <w:szCs w:val="22"/>
        </w:rPr>
        <w:t>lorida</w:t>
      </w:r>
      <w:r w:rsidR="00655107" w:rsidRPr="00C33EC9">
        <w:rPr>
          <w:rFonts w:ascii="Arial" w:hAnsi="Arial" w:cs="Arial"/>
          <w:color w:val="000000"/>
          <w:sz w:val="22"/>
          <w:szCs w:val="22"/>
        </w:rPr>
        <w:t xml:space="preserve"> </w:t>
      </w:r>
      <w:r w:rsidR="008703F1">
        <w:rPr>
          <w:rFonts w:ascii="Arial" w:hAnsi="Arial" w:cs="Arial"/>
          <w:color w:val="000000"/>
          <w:sz w:val="22"/>
          <w:szCs w:val="22"/>
        </w:rPr>
        <w:t>32303</w:t>
      </w:r>
      <w:r w:rsidR="00655107" w:rsidRPr="00C33EC9">
        <w:rPr>
          <w:rFonts w:ascii="Arial" w:hAnsi="Arial" w:cs="Arial"/>
          <w:color w:val="000000"/>
          <w:sz w:val="22"/>
          <w:szCs w:val="22"/>
        </w:rPr>
        <w:t>, and</w:t>
      </w:r>
      <w:r w:rsidR="002055D2" w:rsidRPr="00C33EC9">
        <w:rPr>
          <w:rFonts w:ascii="Arial" w:hAnsi="Arial" w:cs="Arial"/>
          <w:color w:val="000000"/>
          <w:sz w:val="22"/>
          <w:szCs w:val="22"/>
        </w:rPr>
        <w:t xml:space="preserve"> </w:t>
      </w:r>
      <w:r w:rsidR="002055D2" w:rsidRPr="00C33EC9">
        <w:rPr>
          <w:rFonts w:ascii="Arial" w:hAnsi="Arial" w:cs="Arial"/>
          <w:color w:val="FF0000"/>
          <w:sz w:val="22"/>
          <w:szCs w:val="22"/>
        </w:rPr>
        <w:t>[VENDOR NAME]</w:t>
      </w:r>
      <w:r w:rsidR="00655107" w:rsidRPr="00C33EC9">
        <w:rPr>
          <w:rFonts w:ascii="Arial" w:hAnsi="Arial" w:cs="Arial"/>
          <w:color w:val="000000"/>
          <w:sz w:val="22"/>
          <w:szCs w:val="22"/>
        </w:rPr>
        <w:t xml:space="preserve"> (“</w:t>
      </w:r>
      <w:r w:rsidR="00655107" w:rsidRPr="00C33EC9">
        <w:rPr>
          <w:rFonts w:ascii="Arial" w:hAnsi="Arial" w:cs="Arial"/>
          <w:b/>
          <w:color w:val="000000"/>
          <w:sz w:val="22"/>
          <w:szCs w:val="22"/>
        </w:rPr>
        <w:t>Vendor</w:t>
      </w:r>
      <w:r w:rsidR="00655107" w:rsidRPr="00C33EC9">
        <w:rPr>
          <w:rFonts w:ascii="Arial" w:hAnsi="Arial" w:cs="Arial"/>
          <w:color w:val="000000"/>
          <w:sz w:val="22"/>
          <w:szCs w:val="22"/>
        </w:rPr>
        <w:t>”) having its principal place of business at</w:t>
      </w:r>
      <w:r w:rsidR="002055D2" w:rsidRPr="00C33EC9">
        <w:rPr>
          <w:rFonts w:ascii="Arial" w:hAnsi="Arial" w:cs="Arial"/>
          <w:color w:val="000000"/>
          <w:sz w:val="22"/>
          <w:szCs w:val="22"/>
        </w:rPr>
        <w:t xml:space="preserve"> </w:t>
      </w:r>
      <w:r w:rsidR="002055D2" w:rsidRPr="00C33EC9">
        <w:rPr>
          <w:rFonts w:ascii="Arial" w:hAnsi="Arial" w:cs="Arial"/>
          <w:color w:val="FF0000"/>
          <w:sz w:val="22"/>
          <w:szCs w:val="22"/>
        </w:rPr>
        <w:t>[</w:t>
      </w:r>
      <w:r w:rsidR="00C538EB" w:rsidRPr="00C33EC9">
        <w:rPr>
          <w:rFonts w:ascii="Arial" w:hAnsi="Arial" w:cs="Arial"/>
          <w:color w:val="FF0000"/>
          <w:sz w:val="22"/>
          <w:szCs w:val="22"/>
        </w:rPr>
        <w:t>VENDOR ADDRESS</w:t>
      </w:r>
      <w:r w:rsidR="002055D2" w:rsidRPr="00C33EC9">
        <w:rPr>
          <w:rFonts w:ascii="Arial" w:hAnsi="Arial" w:cs="Arial"/>
          <w:color w:val="FF0000"/>
          <w:sz w:val="22"/>
          <w:szCs w:val="22"/>
        </w:rPr>
        <w:t>]</w:t>
      </w:r>
      <w:r w:rsidR="009377BC" w:rsidRPr="00C33EC9">
        <w:rPr>
          <w:rFonts w:ascii="Arial" w:hAnsi="Arial" w:cs="Arial"/>
          <w:sz w:val="22"/>
          <w:szCs w:val="22"/>
        </w:rPr>
        <w:t xml:space="preserve">. </w:t>
      </w:r>
      <w:r w:rsidR="00FC5206">
        <w:rPr>
          <w:rFonts w:ascii="Arial" w:hAnsi="Arial" w:cs="Arial"/>
          <w:sz w:val="22"/>
          <w:szCs w:val="22"/>
        </w:rPr>
        <w:t>C</w:t>
      </w:r>
      <w:r w:rsidR="009377BC" w:rsidRPr="00C33EC9">
        <w:rPr>
          <w:rFonts w:ascii="Arial" w:hAnsi="Arial" w:cs="Arial"/>
          <w:sz w:val="22"/>
          <w:szCs w:val="22"/>
        </w:rPr>
        <w:t xml:space="preserve">itizens and Vendor shall </w:t>
      </w:r>
      <w:r w:rsidR="00547AB3" w:rsidRPr="00C33EC9">
        <w:rPr>
          <w:rFonts w:ascii="Arial" w:hAnsi="Arial" w:cs="Arial"/>
          <w:sz w:val="22"/>
          <w:szCs w:val="22"/>
        </w:rPr>
        <w:t xml:space="preserve">each </w:t>
      </w:r>
      <w:r w:rsidR="009377BC" w:rsidRPr="00C33EC9">
        <w:rPr>
          <w:rFonts w:ascii="Arial" w:hAnsi="Arial" w:cs="Arial"/>
          <w:sz w:val="22"/>
          <w:szCs w:val="22"/>
        </w:rPr>
        <w:t xml:space="preserve">be known as a </w:t>
      </w:r>
      <w:r w:rsidR="009377BC" w:rsidRPr="00FD441B">
        <w:rPr>
          <w:rFonts w:ascii="Arial" w:hAnsi="Arial" w:cs="Arial"/>
          <w:sz w:val="22"/>
          <w:szCs w:val="22"/>
        </w:rPr>
        <w:t>“</w:t>
      </w:r>
      <w:r w:rsidR="009377BC" w:rsidRPr="00CF6E6D">
        <w:rPr>
          <w:rFonts w:ascii="Arial" w:hAnsi="Arial" w:cs="Arial"/>
          <w:sz w:val="22"/>
          <w:szCs w:val="22"/>
        </w:rPr>
        <w:t>Party</w:t>
      </w:r>
      <w:r w:rsidR="009377BC" w:rsidRPr="00FD441B">
        <w:rPr>
          <w:rFonts w:ascii="Arial" w:hAnsi="Arial" w:cs="Arial"/>
          <w:sz w:val="22"/>
          <w:szCs w:val="22"/>
        </w:rPr>
        <w:t>,”</w:t>
      </w:r>
      <w:r w:rsidR="009377BC" w:rsidRPr="00C33EC9">
        <w:rPr>
          <w:rFonts w:ascii="Arial" w:hAnsi="Arial" w:cs="Arial"/>
          <w:sz w:val="22"/>
          <w:szCs w:val="22"/>
        </w:rPr>
        <w:t xml:space="preserve"> and collectively shall be known as the </w:t>
      </w:r>
      <w:r w:rsidR="009377BC" w:rsidRPr="00FD441B">
        <w:rPr>
          <w:rFonts w:ascii="Arial" w:hAnsi="Arial" w:cs="Arial"/>
          <w:sz w:val="22"/>
          <w:szCs w:val="22"/>
        </w:rPr>
        <w:t>“</w:t>
      </w:r>
      <w:r w:rsidR="009377BC" w:rsidRPr="00CF6E6D">
        <w:rPr>
          <w:rFonts w:ascii="Arial" w:hAnsi="Arial" w:cs="Arial"/>
          <w:sz w:val="22"/>
          <w:szCs w:val="22"/>
        </w:rPr>
        <w:t>Parties</w:t>
      </w:r>
      <w:r w:rsidR="009377BC" w:rsidRPr="00FD441B">
        <w:rPr>
          <w:rFonts w:ascii="Arial" w:hAnsi="Arial" w:cs="Arial"/>
          <w:sz w:val="22"/>
          <w:szCs w:val="22"/>
        </w:rPr>
        <w:t>.”</w:t>
      </w:r>
    </w:p>
    <w:p w14:paraId="3CF2B20E" w14:textId="77777777" w:rsidR="00C538EB" w:rsidRPr="00C33EC9" w:rsidRDefault="00C538EB" w:rsidP="00E35B57">
      <w:pPr>
        <w:pStyle w:val="ListParagraph"/>
        <w:tabs>
          <w:tab w:val="left" w:pos="540"/>
        </w:tabs>
        <w:spacing w:line="240" w:lineRule="auto"/>
        <w:ind w:left="0"/>
        <w:jc w:val="center"/>
        <w:rPr>
          <w:rFonts w:ascii="Arial" w:hAnsi="Arial" w:cs="Arial"/>
          <w:b/>
          <w:sz w:val="22"/>
          <w:szCs w:val="22"/>
          <w:u w:val="single"/>
        </w:rPr>
      </w:pPr>
      <w:r w:rsidRPr="00C33EC9">
        <w:rPr>
          <w:rFonts w:ascii="Arial" w:hAnsi="Arial" w:cs="Arial"/>
          <w:b/>
          <w:sz w:val="22"/>
          <w:szCs w:val="22"/>
          <w:u w:val="single"/>
        </w:rPr>
        <w:t>Recitals</w:t>
      </w:r>
    </w:p>
    <w:p w14:paraId="45A59775" w14:textId="77777777" w:rsidR="00C538EB" w:rsidRPr="00C33EC9" w:rsidRDefault="00C538EB" w:rsidP="00A164D2">
      <w:pPr>
        <w:pStyle w:val="ListParagraph"/>
        <w:tabs>
          <w:tab w:val="left" w:pos="540"/>
        </w:tabs>
        <w:spacing w:line="240" w:lineRule="auto"/>
        <w:ind w:left="0"/>
        <w:rPr>
          <w:rFonts w:ascii="Arial" w:hAnsi="Arial" w:cs="Arial"/>
          <w:sz w:val="22"/>
          <w:szCs w:val="22"/>
        </w:rPr>
      </w:pPr>
    </w:p>
    <w:p w14:paraId="7CB02B35" w14:textId="7AE4FCDE" w:rsidR="00C538EB" w:rsidRDefault="006D2585" w:rsidP="00A164D2">
      <w:pPr>
        <w:pStyle w:val="ListParagraph"/>
        <w:tabs>
          <w:tab w:val="left" w:pos="540"/>
        </w:tabs>
        <w:spacing w:line="240" w:lineRule="auto"/>
        <w:ind w:left="0"/>
        <w:rPr>
          <w:rFonts w:ascii="Arial" w:hAnsi="Arial" w:cs="Arial"/>
          <w:sz w:val="22"/>
          <w:szCs w:val="22"/>
        </w:rPr>
      </w:pPr>
      <w:r w:rsidRPr="00C33EC9">
        <w:rPr>
          <w:rFonts w:ascii="Arial" w:hAnsi="Arial" w:cs="Arial"/>
          <w:sz w:val="22"/>
          <w:szCs w:val="22"/>
        </w:rPr>
        <w:t>On</w:t>
      </w:r>
      <w:r w:rsidR="002055D2" w:rsidRPr="00C33EC9">
        <w:rPr>
          <w:rFonts w:ascii="Arial" w:hAnsi="Arial" w:cs="Arial"/>
          <w:sz w:val="22"/>
          <w:szCs w:val="22"/>
        </w:rPr>
        <w:t xml:space="preserve"> </w:t>
      </w:r>
      <w:r w:rsidR="00B8697F" w:rsidRPr="00324F3E">
        <w:rPr>
          <w:rFonts w:ascii="Arial" w:hAnsi="Arial" w:cs="Arial"/>
          <w:sz w:val="22"/>
          <w:szCs w:val="22"/>
        </w:rPr>
        <w:t>April</w:t>
      </w:r>
      <w:r w:rsidR="00324F3E" w:rsidRPr="00324F3E">
        <w:rPr>
          <w:rFonts w:ascii="Arial" w:hAnsi="Arial" w:cs="Arial"/>
          <w:sz w:val="22"/>
          <w:szCs w:val="22"/>
        </w:rPr>
        <w:t xml:space="preserve"> 15</w:t>
      </w:r>
      <w:r w:rsidR="00726ED8" w:rsidRPr="00324F3E">
        <w:rPr>
          <w:rFonts w:ascii="Arial" w:hAnsi="Arial" w:cs="Arial"/>
          <w:sz w:val="22"/>
          <w:szCs w:val="22"/>
        </w:rPr>
        <w:t>,</w:t>
      </w:r>
      <w:r w:rsidR="00F42ABB" w:rsidRPr="00324F3E">
        <w:rPr>
          <w:rFonts w:ascii="Arial" w:hAnsi="Arial" w:cs="Arial"/>
          <w:sz w:val="22"/>
          <w:szCs w:val="22"/>
        </w:rPr>
        <w:t xml:space="preserve"> 2024</w:t>
      </w:r>
      <w:r w:rsidRPr="00C33EC9">
        <w:rPr>
          <w:rFonts w:ascii="Arial" w:hAnsi="Arial" w:cs="Arial"/>
          <w:sz w:val="22"/>
          <w:szCs w:val="22"/>
        </w:rPr>
        <w:t xml:space="preserve">, Citizens issued </w:t>
      </w:r>
      <w:r w:rsidR="00DC0FA3" w:rsidRPr="006B29E6">
        <w:rPr>
          <w:rFonts w:ascii="Arial" w:hAnsi="Arial" w:cs="Arial"/>
          <w:sz w:val="22"/>
          <w:szCs w:val="22"/>
        </w:rPr>
        <w:t>an Invitation to Bid</w:t>
      </w:r>
      <w:r w:rsidR="002055D2" w:rsidRPr="006B29E6">
        <w:rPr>
          <w:rFonts w:ascii="Arial" w:hAnsi="Arial" w:cs="Arial"/>
          <w:sz w:val="22"/>
          <w:szCs w:val="22"/>
        </w:rPr>
        <w:t xml:space="preserve"> No. </w:t>
      </w:r>
      <w:r w:rsidR="00F42ABB">
        <w:rPr>
          <w:rFonts w:ascii="Arial" w:hAnsi="Arial" w:cs="Arial"/>
          <w:sz w:val="22"/>
          <w:szCs w:val="22"/>
        </w:rPr>
        <w:t>24-0006</w:t>
      </w:r>
      <w:r w:rsidR="002055D2" w:rsidRPr="006B29E6">
        <w:rPr>
          <w:rFonts w:ascii="Arial" w:hAnsi="Arial" w:cs="Arial"/>
          <w:sz w:val="22"/>
          <w:szCs w:val="22"/>
        </w:rPr>
        <w:t xml:space="preserve"> for </w:t>
      </w:r>
      <w:r w:rsidR="006B29E6" w:rsidRPr="006B29E6">
        <w:rPr>
          <w:rFonts w:ascii="Arial" w:hAnsi="Arial" w:cs="Arial"/>
          <w:sz w:val="22"/>
          <w:szCs w:val="22"/>
        </w:rPr>
        <w:t xml:space="preserve">MICR Printer Maintenance, </w:t>
      </w:r>
      <w:r w:rsidR="00F42ABB">
        <w:rPr>
          <w:rFonts w:ascii="Arial" w:hAnsi="Arial" w:cs="Arial"/>
          <w:sz w:val="22"/>
          <w:szCs w:val="22"/>
        </w:rPr>
        <w:t>Services, Repairs, Parts, and Supplies</w:t>
      </w:r>
      <w:r w:rsidRPr="006B29E6">
        <w:rPr>
          <w:rFonts w:ascii="Arial" w:hAnsi="Arial" w:cs="Arial"/>
          <w:sz w:val="22"/>
          <w:szCs w:val="22"/>
        </w:rPr>
        <w:t xml:space="preserve"> (the </w:t>
      </w:r>
      <w:r w:rsidR="000B62B8" w:rsidRPr="006B29E6">
        <w:rPr>
          <w:rFonts w:ascii="Arial" w:hAnsi="Arial" w:cs="Arial"/>
          <w:sz w:val="22"/>
          <w:szCs w:val="22"/>
        </w:rPr>
        <w:t>“</w:t>
      </w:r>
      <w:r w:rsidR="00082F01" w:rsidRPr="006B29E6">
        <w:rPr>
          <w:rFonts w:ascii="Arial" w:hAnsi="Arial" w:cs="Arial"/>
          <w:sz w:val="22"/>
          <w:szCs w:val="22"/>
        </w:rPr>
        <w:t>Solicitation</w:t>
      </w:r>
      <w:r w:rsidR="000B62B8" w:rsidRPr="00C33EC9">
        <w:rPr>
          <w:rFonts w:ascii="Arial" w:hAnsi="Arial" w:cs="Arial"/>
          <w:sz w:val="22"/>
          <w:szCs w:val="22"/>
        </w:rPr>
        <w:t>”</w:t>
      </w:r>
      <w:r w:rsidR="008703F1">
        <w:rPr>
          <w:rFonts w:ascii="Arial" w:hAnsi="Arial" w:cs="Arial"/>
          <w:sz w:val="22"/>
          <w:szCs w:val="22"/>
        </w:rPr>
        <w:t xml:space="preserve">). </w:t>
      </w:r>
      <w:r w:rsidRPr="00C33EC9">
        <w:rPr>
          <w:rFonts w:ascii="Arial" w:hAnsi="Arial" w:cs="Arial"/>
          <w:sz w:val="22"/>
          <w:szCs w:val="22"/>
        </w:rPr>
        <w:t>Vendor</w:t>
      </w:r>
      <w:r w:rsidR="004060BA">
        <w:rPr>
          <w:rFonts w:ascii="Arial" w:hAnsi="Arial" w:cs="Arial"/>
          <w:sz w:val="22"/>
          <w:szCs w:val="22"/>
        </w:rPr>
        <w:t xml:space="preserve">’s response to the Solicitation was accepted by Citizens, subject to the terms set forth in this </w:t>
      </w:r>
      <w:r w:rsidR="00B87CBF">
        <w:rPr>
          <w:rFonts w:ascii="Arial" w:hAnsi="Arial" w:cs="Arial"/>
          <w:sz w:val="22"/>
          <w:szCs w:val="22"/>
        </w:rPr>
        <w:t>Agreement</w:t>
      </w:r>
      <w:r w:rsidR="004060BA">
        <w:rPr>
          <w:rFonts w:ascii="Arial" w:hAnsi="Arial" w:cs="Arial"/>
          <w:sz w:val="22"/>
          <w:szCs w:val="22"/>
        </w:rPr>
        <w:t>.</w:t>
      </w:r>
      <w:r w:rsidRPr="00C33EC9">
        <w:rPr>
          <w:rFonts w:ascii="Arial" w:hAnsi="Arial" w:cs="Arial"/>
          <w:sz w:val="22"/>
          <w:szCs w:val="22"/>
        </w:rPr>
        <w:t xml:space="preserve"> </w:t>
      </w:r>
    </w:p>
    <w:p w14:paraId="0D7689F1" w14:textId="77777777" w:rsidR="00BA38C1" w:rsidRPr="00C33EC9" w:rsidRDefault="00BA38C1" w:rsidP="00A164D2">
      <w:pPr>
        <w:pStyle w:val="ListParagraph"/>
        <w:tabs>
          <w:tab w:val="left" w:pos="540"/>
        </w:tabs>
        <w:spacing w:line="240" w:lineRule="auto"/>
        <w:ind w:left="0"/>
        <w:rPr>
          <w:rFonts w:ascii="Arial" w:hAnsi="Arial" w:cs="Arial"/>
          <w:sz w:val="22"/>
          <w:szCs w:val="22"/>
        </w:rPr>
      </w:pPr>
    </w:p>
    <w:p w14:paraId="380645C1" w14:textId="77777777" w:rsidR="006D2585" w:rsidRPr="00C33EC9" w:rsidRDefault="006D2585" w:rsidP="00FC381B">
      <w:pPr>
        <w:spacing w:line="240" w:lineRule="auto"/>
        <w:rPr>
          <w:rFonts w:ascii="Arial" w:hAnsi="Arial" w:cs="Arial"/>
          <w:color w:val="000000"/>
          <w:sz w:val="22"/>
          <w:szCs w:val="22"/>
        </w:rPr>
      </w:pPr>
      <w:r w:rsidRPr="00C33EC9">
        <w:rPr>
          <w:rFonts w:ascii="Arial" w:hAnsi="Arial" w:cs="Arial"/>
          <w:color w:val="000000"/>
          <w:sz w:val="22"/>
          <w:szCs w:val="22"/>
        </w:rPr>
        <w:t xml:space="preserve">In consideration of the mutual promises and restrictions stated in this </w:t>
      </w:r>
      <w:r w:rsidR="00B87CBF">
        <w:rPr>
          <w:rFonts w:ascii="Arial" w:hAnsi="Arial" w:cs="Arial"/>
          <w:color w:val="000000"/>
          <w:sz w:val="22"/>
          <w:szCs w:val="22"/>
        </w:rPr>
        <w:t>Agreement</w:t>
      </w:r>
      <w:r w:rsidRPr="00C33EC9">
        <w:rPr>
          <w:rFonts w:ascii="Arial" w:hAnsi="Arial" w:cs="Arial"/>
          <w:color w:val="000000"/>
          <w:sz w:val="22"/>
          <w:szCs w:val="22"/>
        </w:rPr>
        <w:t xml:space="preserve">, </w:t>
      </w:r>
      <w:r w:rsidR="00AC2621" w:rsidRPr="00C33EC9">
        <w:rPr>
          <w:rFonts w:ascii="Arial" w:hAnsi="Arial" w:cs="Arial"/>
          <w:color w:val="000000"/>
          <w:sz w:val="22"/>
          <w:szCs w:val="22"/>
        </w:rPr>
        <w:t>the</w:t>
      </w:r>
      <w:r w:rsidRPr="00C33EC9">
        <w:rPr>
          <w:rFonts w:ascii="Arial" w:hAnsi="Arial" w:cs="Arial"/>
          <w:color w:val="000000"/>
          <w:sz w:val="22"/>
          <w:szCs w:val="22"/>
        </w:rPr>
        <w:t xml:space="preserve"> Parties acknowledge and agree </w:t>
      </w:r>
      <w:r w:rsidR="00AC2621" w:rsidRPr="00C33EC9">
        <w:rPr>
          <w:rFonts w:ascii="Arial" w:hAnsi="Arial" w:cs="Arial"/>
          <w:color w:val="000000"/>
          <w:sz w:val="22"/>
          <w:szCs w:val="22"/>
        </w:rPr>
        <w:t>as follows</w:t>
      </w:r>
      <w:r w:rsidRPr="00C33EC9">
        <w:rPr>
          <w:rFonts w:ascii="Arial" w:hAnsi="Arial" w:cs="Arial"/>
          <w:color w:val="000000"/>
          <w:sz w:val="22"/>
          <w:szCs w:val="22"/>
        </w:rPr>
        <w:t>:</w:t>
      </w:r>
    </w:p>
    <w:p w14:paraId="63AED4ED" w14:textId="77777777" w:rsidR="00FC381B" w:rsidRPr="00C33EC9" w:rsidRDefault="00FC381B" w:rsidP="00FC381B">
      <w:pPr>
        <w:spacing w:line="240" w:lineRule="auto"/>
        <w:rPr>
          <w:rFonts w:ascii="Arial" w:hAnsi="Arial" w:cs="Arial"/>
          <w:color w:val="000000"/>
          <w:sz w:val="22"/>
          <w:szCs w:val="22"/>
        </w:rPr>
      </w:pPr>
    </w:p>
    <w:p w14:paraId="452B83CE" w14:textId="5D77BF05" w:rsidR="00FC381B" w:rsidRDefault="00FC381B" w:rsidP="00FC381B">
      <w:pPr>
        <w:spacing w:line="240" w:lineRule="auto"/>
        <w:jc w:val="center"/>
        <w:rPr>
          <w:rFonts w:ascii="Arial" w:hAnsi="Arial" w:cs="Arial"/>
          <w:b/>
          <w:color w:val="000000"/>
          <w:sz w:val="22"/>
          <w:szCs w:val="22"/>
          <w:u w:val="single"/>
        </w:rPr>
      </w:pPr>
      <w:r w:rsidRPr="00C33EC9">
        <w:rPr>
          <w:rFonts w:ascii="Arial" w:hAnsi="Arial" w:cs="Arial"/>
          <w:b/>
          <w:color w:val="000000"/>
          <w:sz w:val="22"/>
          <w:szCs w:val="22"/>
          <w:u w:val="single"/>
        </w:rPr>
        <w:t>Terms of Agreement</w:t>
      </w:r>
    </w:p>
    <w:p w14:paraId="4EFE64BB" w14:textId="77777777" w:rsidR="00692C39" w:rsidRPr="00C33EC9" w:rsidRDefault="00692C39" w:rsidP="00692C39">
      <w:pPr>
        <w:pStyle w:val="KHeading1"/>
        <w:rPr>
          <w:rFonts w:cs="Arial"/>
          <w:szCs w:val="22"/>
        </w:rPr>
      </w:pPr>
      <w:r w:rsidRPr="00C33EC9">
        <w:rPr>
          <w:rFonts w:cs="Arial"/>
          <w:b/>
          <w:szCs w:val="22"/>
          <w:u w:val="single"/>
        </w:rPr>
        <w:t>Definitions</w:t>
      </w:r>
      <w:r w:rsidRPr="00C33EC9">
        <w:rPr>
          <w:rFonts w:cs="Arial"/>
          <w:b/>
          <w:szCs w:val="22"/>
          <w:u w:val="single"/>
        </w:rPr>
        <w:fldChar w:fldCharType="begin"/>
      </w:r>
      <w:r w:rsidRPr="00C33EC9">
        <w:rPr>
          <w:rFonts w:cs="Arial"/>
          <w:b/>
          <w:szCs w:val="22"/>
        </w:rPr>
        <w:instrText xml:space="preserve"> TC "</w:instrText>
      </w:r>
      <w:bookmarkStart w:id="0" w:name="_Toc520903730"/>
      <w:r w:rsidRPr="00C33EC9">
        <w:rPr>
          <w:rFonts w:cs="Arial"/>
          <w:b/>
          <w:szCs w:val="22"/>
          <w:u w:val="single"/>
        </w:rPr>
        <w:instrText>Definitions</w:instrText>
      </w:r>
      <w:bookmarkEnd w:id="0"/>
      <w:r w:rsidRPr="00C33EC9">
        <w:rPr>
          <w:rFonts w:cs="Arial"/>
          <w:b/>
          <w:szCs w:val="22"/>
        </w:rPr>
        <w:instrText xml:space="preserve">" \f C \l "1" </w:instrText>
      </w:r>
      <w:r w:rsidRPr="00C33EC9">
        <w:rPr>
          <w:rFonts w:cs="Arial"/>
          <w:b/>
          <w:szCs w:val="22"/>
          <w:u w:val="single"/>
        </w:rPr>
        <w:fldChar w:fldCharType="end"/>
      </w:r>
      <w:r w:rsidRPr="00C33EC9">
        <w:rPr>
          <w:rFonts w:cs="Arial"/>
          <w:b/>
          <w:szCs w:val="22"/>
        </w:rPr>
        <w:t>.</w:t>
      </w:r>
      <w:r>
        <w:rPr>
          <w:rFonts w:cs="Arial"/>
          <w:szCs w:val="22"/>
        </w:rPr>
        <w:t xml:space="preserve"> </w:t>
      </w:r>
      <w:r w:rsidRPr="00C33EC9">
        <w:rPr>
          <w:rFonts w:cs="Arial"/>
          <w:szCs w:val="22"/>
        </w:rPr>
        <w:t xml:space="preserve">As used in this </w:t>
      </w:r>
      <w:r>
        <w:rPr>
          <w:rFonts w:cs="Arial"/>
          <w:szCs w:val="22"/>
        </w:rPr>
        <w:t>Agreement</w:t>
      </w:r>
      <w:r w:rsidRPr="00C33EC9">
        <w:rPr>
          <w:rFonts w:cs="Arial"/>
          <w:szCs w:val="22"/>
        </w:rPr>
        <w:t>, the fol</w:t>
      </w:r>
      <w:r>
        <w:rPr>
          <w:rFonts w:cs="Arial"/>
          <w:szCs w:val="22"/>
        </w:rPr>
        <w:t xml:space="preserve">lowing terms have the following </w:t>
      </w:r>
      <w:r w:rsidRPr="00C33EC9">
        <w:rPr>
          <w:rFonts w:cs="Arial"/>
          <w:szCs w:val="22"/>
        </w:rPr>
        <w:t>meanings:</w:t>
      </w:r>
    </w:p>
    <w:p w14:paraId="106B3AE5" w14:textId="77777777" w:rsidR="00692C39" w:rsidRPr="00EC1525" w:rsidRDefault="00692C39" w:rsidP="00692C39">
      <w:pPr>
        <w:pStyle w:val="KHeading2"/>
        <w:numPr>
          <w:ilvl w:val="1"/>
          <w:numId w:val="43"/>
        </w:numPr>
        <w:ind w:left="1440" w:hanging="720"/>
        <w:rPr>
          <w:i/>
        </w:rPr>
      </w:pPr>
      <w:r w:rsidRPr="00232C14">
        <w:t xml:space="preserve">“Citizens Confidential Information” means </w:t>
      </w:r>
      <w:r>
        <w:t xml:space="preserve">any and </w:t>
      </w:r>
      <w:r w:rsidRPr="00232C14">
        <w:t xml:space="preserve">all </w:t>
      </w:r>
      <w:r w:rsidRPr="00B20541">
        <w:t xml:space="preserve">information and documentation of </w:t>
      </w:r>
      <w:r>
        <w:t xml:space="preserve">Citizens </w:t>
      </w:r>
      <w:r w:rsidRPr="00B20541">
        <w:t xml:space="preserve">that:  (a) has been marked “confidential” or with words of similar meaning, at the time of disclosure by </w:t>
      </w:r>
      <w:r>
        <w:t>Citizens</w:t>
      </w:r>
      <w:r w:rsidRPr="00B20541">
        <w:t xml:space="preserve">; (b) if disclosed orally or not marked “confidential” or with words of similar meaning, was subsequently summarized in writing by </w:t>
      </w:r>
      <w:r>
        <w:t>Citizens</w:t>
      </w:r>
      <w:r w:rsidRPr="00B20541">
        <w:t xml:space="preserve"> and marked “confidential” or with words of similar meaning;</w:t>
      </w:r>
      <w:r>
        <w:t xml:space="preserve"> </w:t>
      </w:r>
      <w:r w:rsidRPr="00B20541">
        <w:t xml:space="preserve">(c) should reasonably be recognized as confidential information of </w:t>
      </w:r>
      <w:r>
        <w:t>Citizens; (d</w:t>
      </w:r>
      <w:r w:rsidRPr="00232C14">
        <w:t xml:space="preserve">) </w:t>
      </w:r>
      <w:r>
        <w:t>p</w:t>
      </w:r>
      <w:r w:rsidRPr="00232C14">
        <w:t>rotected under any applicable state or federal law (including Chapter 119, Florida Statutes; Sections 501.171, and 627.351(6), Florida Statutes; Chapter 69O-128, Florida Administrative Code; and, 15 U.S.C. § 6801 et seq.</w:t>
      </w:r>
      <w:r>
        <w:t xml:space="preserve">); </w:t>
      </w:r>
      <w:r w:rsidRPr="00B20541">
        <w:t>or, (</w:t>
      </w:r>
      <w:r>
        <w:t>e</w:t>
      </w:r>
      <w:r w:rsidRPr="00B20541">
        <w:t>)</w:t>
      </w:r>
      <w:r>
        <w:t xml:space="preserve"> </w:t>
      </w:r>
      <w:r w:rsidRPr="00B20541">
        <w:t>whether marked “Confidential” or not, consists of</w:t>
      </w:r>
      <w:r>
        <w:t xml:space="preserve"> Citizens’</w:t>
      </w:r>
      <w:r w:rsidRPr="00B20541">
        <w:t xml:space="preserve"> information and documentation </w:t>
      </w:r>
      <w:r w:rsidRPr="00232C14">
        <w:t xml:space="preserve">related to any Citizens manuals, lists, operating and other systems or programs, business practices or procedures, insurance policies, claimants or claims, or any business, governmental, and regulatory matters affecting </w:t>
      </w:r>
      <w:r w:rsidRPr="005034E4">
        <w:t xml:space="preserve">Citizens. </w:t>
      </w:r>
      <w:r w:rsidRPr="001C0A56">
        <w:t xml:space="preserve">“Citizens Confidential Information” does not include any information or documentation that: (a) is publicly available through no fault of Vendor or Vendor Staff; </w:t>
      </w:r>
      <w:r w:rsidRPr="00232C14">
        <w:t xml:space="preserve">or, </w:t>
      </w:r>
      <w:r w:rsidRPr="001C0A56">
        <w:t>(b) Vendor developed independently without relying in any way on Citizens Confidential Information.</w:t>
      </w:r>
    </w:p>
    <w:p w14:paraId="7CBF1850" w14:textId="77777777" w:rsidR="00692C39" w:rsidRDefault="00692C39" w:rsidP="00692C39">
      <w:pPr>
        <w:pStyle w:val="KHeading2"/>
        <w:ind w:left="1440" w:hanging="720"/>
        <w:rPr>
          <w:iCs/>
        </w:rPr>
      </w:pPr>
      <w:r w:rsidRPr="00217C50">
        <w:rPr>
          <w:iCs/>
        </w:rPr>
        <w:lastRenderedPageBreak/>
        <w:t>“Citizens Data”</w:t>
      </w:r>
      <w:r>
        <w:rPr>
          <w:iCs/>
        </w:rPr>
        <w:t xml:space="preserve"> means any and all data of Citizens in an electronic format that: (a) has been provided to Vendor by Citizens; (b) is c</w:t>
      </w:r>
      <w:r w:rsidRPr="00217C50">
        <w:rPr>
          <w:iCs/>
        </w:rPr>
        <w:t xml:space="preserve">ollected, used, processed, stored, or generated as </w:t>
      </w:r>
      <w:r>
        <w:rPr>
          <w:iCs/>
        </w:rPr>
        <w:t xml:space="preserve">a </w:t>
      </w:r>
      <w:r w:rsidRPr="00217C50">
        <w:rPr>
          <w:iCs/>
        </w:rPr>
        <w:t xml:space="preserve">result of the Services; </w:t>
      </w:r>
      <w:r>
        <w:rPr>
          <w:iCs/>
        </w:rPr>
        <w:t>or</w:t>
      </w:r>
      <w:r w:rsidRPr="00217C50">
        <w:rPr>
          <w:iCs/>
        </w:rPr>
        <w:t>, (</w:t>
      </w:r>
      <w:r>
        <w:rPr>
          <w:iCs/>
        </w:rPr>
        <w:t>c</w:t>
      </w:r>
      <w:r w:rsidRPr="00217C50">
        <w:rPr>
          <w:iCs/>
        </w:rPr>
        <w:t xml:space="preserve">) </w:t>
      </w:r>
      <w:r>
        <w:rPr>
          <w:iCs/>
        </w:rPr>
        <w:t xml:space="preserve">is private information or </w:t>
      </w:r>
      <w:r w:rsidRPr="00217C50">
        <w:rPr>
          <w:iCs/>
        </w:rPr>
        <w:t xml:space="preserve">personally identifiable information collected, used, processed, stored, or generated as </w:t>
      </w:r>
      <w:r>
        <w:rPr>
          <w:iCs/>
        </w:rPr>
        <w:t xml:space="preserve">a </w:t>
      </w:r>
      <w:r w:rsidRPr="00217C50">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 herein.</w:t>
      </w:r>
    </w:p>
    <w:p w14:paraId="529730CA" w14:textId="27593BE6" w:rsidR="00805DAB" w:rsidRPr="001D450F" w:rsidRDefault="00805DAB" w:rsidP="00805DAB">
      <w:pPr>
        <w:pStyle w:val="KHeading2"/>
        <w:ind w:left="1440" w:hanging="720"/>
        <w:rPr>
          <w:i/>
        </w:rPr>
      </w:pPr>
      <w:r w:rsidRPr="00232C14">
        <w:t>“Deliverables” means the quantifiable, measurable, and verifiable items required to be delivered to Citizens by Vendor under this Agreement.</w:t>
      </w:r>
    </w:p>
    <w:p w14:paraId="163BB1BC" w14:textId="7A798E1B" w:rsidR="00692C39" w:rsidRPr="00C33EC9" w:rsidRDefault="00692C39" w:rsidP="00692C39">
      <w:pPr>
        <w:pStyle w:val="KHeading2"/>
        <w:ind w:left="1440" w:hanging="720"/>
        <w:rPr>
          <w:i/>
        </w:rPr>
      </w:pPr>
      <w:r w:rsidRPr="00C33EC9">
        <w:t xml:space="preserve">“Effective Date” </w:t>
      </w:r>
      <w:r>
        <w:t>means</w:t>
      </w:r>
      <w:r w:rsidRPr="00C33EC9">
        <w:t xml:space="preserve"> the date on which the last </w:t>
      </w:r>
      <w:r>
        <w:t>P</w:t>
      </w:r>
      <w:r w:rsidRPr="00C33EC9">
        <w:t xml:space="preserve">arty executes this </w:t>
      </w:r>
      <w:r>
        <w:t>Agreement</w:t>
      </w:r>
      <w:r w:rsidRPr="00C33EC9">
        <w:t xml:space="preserve">. </w:t>
      </w:r>
    </w:p>
    <w:p w14:paraId="0B1E2968" w14:textId="77777777" w:rsidR="00692C39" w:rsidRPr="00C33EC9" w:rsidRDefault="00692C39" w:rsidP="001130D1">
      <w:pPr>
        <w:pStyle w:val="KHeading2"/>
        <w:ind w:left="1440" w:hanging="720"/>
      </w:pPr>
      <w:r w:rsidRPr="00C33EC9">
        <w:t xml:space="preserve">“Services” means all services and Deliverables to be provided by Vendor to Citizens under this </w:t>
      </w:r>
      <w:r>
        <w:t>Agreement</w:t>
      </w:r>
      <w:r w:rsidRPr="00C33EC9">
        <w:t xml:space="preserve">.  If any service or Deliverable is not specifically described in this </w:t>
      </w:r>
      <w:r>
        <w:t>Agreement</w:t>
      </w:r>
      <w:r w:rsidRPr="00C33EC9">
        <w:t xml:space="preserve"> but is necessary for the proper performance and provisioning of the Services, that service or Deliverable shall be included within the definition of the Services to the same extent and in the same manner as if specifically described herein.</w:t>
      </w:r>
    </w:p>
    <w:p w14:paraId="1F271F6C" w14:textId="77777777" w:rsidR="00692C39" w:rsidRPr="00C33EC9" w:rsidRDefault="00692C39" w:rsidP="00692C39">
      <w:pPr>
        <w:pStyle w:val="KHeading2"/>
        <w:ind w:left="1440" w:hanging="720"/>
      </w:pPr>
      <w:r w:rsidRPr="00C33EC9">
        <w:t>“Vendor Staff” means any of Vendor’s employees, agents, subcontractors</w:t>
      </w:r>
      <w:r>
        <w:t>,</w:t>
      </w:r>
      <w:r w:rsidRPr="00C33EC9">
        <w:t xml:space="preserve"> or representatives who: (a) provide the Services; or, (b) have access to Citizens Confidential Information</w:t>
      </w:r>
      <w:r>
        <w:t xml:space="preserve"> or Citizens Data</w:t>
      </w:r>
      <w:r w:rsidRPr="00C33EC9">
        <w:t>.</w:t>
      </w:r>
    </w:p>
    <w:p w14:paraId="3AED4541" w14:textId="77777777" w:rsidR="00692C39" w:rsidRPr="00C33EC9" w:rsidRDefault="00692C39" w:rsidP="00692C39">
      <w:pPr>
        <w:pStyle w:val="KHeading2"/>
        <w:ind w:left="1440" w:hanging="720"/>
      </w:pPr>
      <w:r w:rsidRPr="00C33EC9">
        <w:t xml:space="preserve">“Work Product” means each Deliverable and any drawing, design, specification, rendering, notebook, tracing, photograph, reference book, equipment, material, negative, report, finding, recommendation, </w:t>
      </w:r>
      <w:proofErr w:type="gramStart"/>
      <w:r w:rsidRPr="00C33EC9">
        <w:t>data</w:t>
      </w:r>
      <w:proofErr w:type="gramEnd"/>
      <w:r w:rsidRPr="00C33EC9">
        <w:t xml:space="preserve"> and memorandum of every description, </w:t>
      </w:r>
      <w:r w:rsidRPr="003C225E">
        <w:t>created for Citizens under this Agreement and</w:t>
      </w:r>
      <w:r>
        <w:t xml:space="preserve"> </w:t>
      </w:r>
      <w:r w:rsidRPr="00C33EC9">
        <w:t xml:space="preserve">shared with or delivered to Citizens by Vendor or Vendor Staff </w:t>
      </w:r>
      <w:r>
        <w:t>in the course of performing</w:t>
      </w:r>
      <w:r w:rsidRPr="00C33EC9">
        <w:t xml:space="preserve"> this </w:t>
      </w:r>
      <w:r>
        <w:t>Agreement</w:t>
      </w:r>
      <w:r w:rsidRPr="00C33EC9">
        <w:t>.</w:t>
      </w:r>
    </w:p>
    <w:p w14:paraId="0C3B82E9" w14:textId="2033BEF6" w:rsidR="00726ED8" w:rsidRDefault="00726ED8" w:rsidP="006A5A63">
      <w:pPr>
        <w:pStyle w:val="KHeading1"/>
        <w:rPr>
          <w:szCs w:val="22"/>
        </w:rPr>
      </w:pPr>
      <w:r w:rsidRPr="00726ED8">
        <w:rPr>
          <w:b/>
          <w:bCs/>
          <w:szCs w:val="22"/>
          <w:u w:val="single"/>
        </w:rPr>
        <w:t>Incorporation of Documents.</w:t>
      </w:r>
      <w:r>
        <w:rPr>
          <w:szCs w:val="22"/>
        </w:rPr>
        <w:t xml:space="preserve"> Each of the documents listed below is hereby incorporated herein by reference. Every recital, definition, term, condition, exhibit, schedule, and appendix attached to the documents is also hereby incorporated into this Agreement both by reference and as attached to this Agreement (altogether, “Agreement Documents”):</w:t>
      </w:r>
    </w:p>
    <w:p w14:paraId="15B9AB0A" w14:textId="5FB9D58E" w:rsidR="00726ED8" w:rsidRDefault="00726ED8" w:rsidP="00726ED8">
      <w:pPr>
        <w:pStyle w:val="KHeading2"/>
        <w:numPr>
          <w:ilvl w:val="1"/>
          <w:numId w:val="56"/>
        </w:numPr>
        <w:ind w:left="1440" w:hanging="720"/>
      </w:pPr>
      <w:r>
        <w:t xml:space="preserve">Exhibit A – </w:t>
      </w:r>
      <w:r w:rsidR="004E0C7B">
        <w:t>Vendor’s Response to ITB;</w:t>
      </w:r>
    </w:p>
    <w:p w14:paraId="3C3D53EE" w14:textId="26291197" w:rsidR="00726ED8" w:rsidRDefault="00726ED8" w:rsidP="00726ED8">
      <w:pPr>
        <w:pStyle w:val="KHeading2"/>
        <w:numPr>
          <w:ilvl w:val="1"/>
          <w:numId w:val="56"/>
        </w:numPr>
        <w:ind w:left="1440" w:hanging="720"/>
      </w:pPr>
      <w:r>
        <w:t>Exhibit B –</w:t>
      </w:r>
      <w:r w:rsidR="00B51BD7">
        <w:rPr>
          <w:i/>
          <w:iCs/>
        </w:rPr>
        <w:t xml:space="preserve"> </w:t>
      </w:r>
      <w:r w:rsidR="00B51BD7" w:rsidRPr="00856116">
        <w:rPr>
          <w:i/>
          <w:iCs/>
          <w:color w:val="FF0000"/>
        </w:rPr>
        <w:t>Citizens may consider Vendor’s proposed inclusion of Vendor’s standard terms and conditions, and other potential documents</w:t>
      </w:r>
      <w:r w:rsidR="00856116" w:rsidRPr="00856116">
        <w:rPr>
          <w:i/>
          <w:iCs/>
          <w:color w:val="FF0000"/>
        </w:rPr>
        <w:t>, as Exhibits to</w:t>
      </w:r>
      <w:r w:rsidR="00110D25">
        <w:rPr>
          <w:i/>
          <w:iCs/>
          <w:color w:val="FF0000"/>
        </w:rPr>
        <w:t xml:space="preserve"> be added to</w:t>
      </w:r>
      <w:r w:rsidR="00856116" w:rsidRPr="00856116">
        <w:rPr>
          <w:i/>
          <w:iCs/>
          <w:color w:val="FF0000"/>
        </w:rPr>
        <w:t xml:space="preserve"> this Agreement. Citizens may modify language within this Agreement accordingly.</w:t>
      </w:r>
    </w:p>
    <w:p w14:paraId="72325C82" w14:textId="74DAF1E9" w:rsidR="00726ED8" w:rsidRDefault="00726ED8" w:rsidP="00726ED8">
      <w:pPr>
        <w:pStyle w:val="KHeading1"/>
        <w:numPr>
          <w:ilvl w:val="0"/>
          <w:numId w:val="56"/>
        </w:numPr>
      </w:pPr>
      <w:r>
        <w:rPr>
          <w:b/>
          <w:bCs/>
          <w:u w:val="single"/>
        </w:rPr>
        <w:t>Hierarchy.</w:t>
      </w:r>
      <w:r>
        <w:t xml:space="preserve"> In case of a conflict of terms or provisions between any of the Agreement Documents, the following shall serve as an order of precedence from most controlling document to least controlling document:</w:t>
      </w:r>
    </w:p>
    <w:p w14:paraId="46E142B9" w14:textId="7FF1B701" w:rsidR="00726ED8" w:rsidRDefault="00726ED8" w:rsidP="001130D1">
      <w:pPr>
        <w:pStyle w:val="KHeading2"/>
        <w:numPr>
          <w:ilvl w:val="1"/>
          <w:numId w:val="56"/>
        </w:numPr>
        <w:tabs>
          <w:tab w:val="clear" w:pos="1440"/>
        </w:tabs>
        <w:ind w:left="1440" w:hanging="720"/>
      </w:pPr>
      <w:r>
        <w:t>This Agreement;</w:t>
      </w:r>
    </w:p>
    <w:p w14:paraId="54F54379" w14:textId="0BAD4DBD" w:rsidR="00726ED8" w:rsidRDefault="00726ED8" w:rsidP="001130D1">
      <w:pPr>
        <w:pStyle w:val="KHeading2"/>
        <w:numPr>
          <w:ilvl w:val="1"/>
          <w:numId w:val="56"/>
        </w:numPr>
        <w:ind w:left="1440" w:hanging="720"/>
      </w:pPr>
      <w:r>
        <w:t>Exhibit A</w:t>
      </w:r>
      <w:r w:rsidR="004E0C7B">
        <w:t xml:space="preserve"> – Vendor’s Response to ITB;</w:t>
      </w:r>
    </w:p>
    <w:p w14:paraId="7F452938" w14:textId="7338C68E" w:rsidR="00726ED8" w:rsidRDefault="00726ED8" w:rsidP="001130D1">
      <w:pPr>
        <w:pStyle w:val="KHeading2"/>
        <w:numPr>
          <w:ilvl w:val="1"/>
          <w:numId w:val="56"/>
        </w:numPr>
        <w:ind w:left="1440" w:hanging="720"/>
      </w:pPr>
      <w:r>
        <w:t>Exhibit B</w:t>
      </w:r>
      <w:r w:rsidR="00856116">
        <w:t xml:space="preserve"> - </w:t>
      </w:r>
      <w:r w:rsidR="00856116" w:rsidRPr="00856116">
        <w:rPr>
          <w:i/>
          <w:iCs/>
          <w:color w:val="FF0000"/>
        </w:rPr>
        <w:t xml:space="preserve">Citizens may consider Vendor’s proposed inclusion of Vendor’s standard terms and conditions, and other potential documents, as Exhibits to </w:t>
      </w:r>
      <w:r w:rsidR="00110D25">
        <w:rPr>
          <w:i/>
          <w:iCs/>
          <w:color w:val="FF0000"/>
        </w:rPr>
        <w:t xml:space="preserve">be added to </w:t>
      </w:r>
      <w:r w:rsidR="00856116" w:rsidRPr="00856116">
        <w:rPr>
          <w:i/>
          <w:iCs/>
          <w:color w:val="FF0000"/>
        </w:rPr>
        <w:t>this Agreement. Citizens may modify language within this Agreement accordingly.</w:t>
      </w:r>
    </w:p>
    <w:p w14:paraId="22C03D0E" w14:textId="7D48119D" w:rsidR="00726ED8" w:rsidRPr="00726ED8" w:rsidRDefault="006F53B3" w:rsidP="006F53B3">
      <w:pPr>
        <w:pStyle w:val="KHeading2"/>
        <w:numPr>
          <w:ilvl w:val="0"/>
          <w:numId w:val="0"/>
        </w:numPr>
        <w:ind w:left="630"/>
      </w:pPr>
      <w:r>
        <w:lastRenderedPageBreak/>
        <w:t xml:space="preserve">If a conflict exists, the conflicting portion of the more controlling document remains enforceable. The conflicting portion of the less controlling document is unenforceable. Any non-conflicting portion(s) of the term or provision of the less controlling documents remains enforceable. </w:t>
      </w:r>
    </w:p>
    <w:p w14:paraId="05F86CC4" w14:textId="24D14B1E" w:rsidR="00814A0A" w:rsidRPr="006A5A63" w:rsidRDefault="00814A0A" w:rsidP="006A5A63">
      <w:pPr>
        <w:pStyle w:val="KHeading1"/>
        <w:rPr>
          <w:szCs w:val="22"/>
        </w:rPr>
      </w:pPr>
      <w:r w:rsidRPr="00645F9F">
        <w:rPr>
          <w:b/>
          <w:szCs w:val="22"/>
          <w:u w:val="single"/>
        </w:rPr>
        <w:t>Term and Renewals</w:t>
      </w:r>
      <w:r w:rsidR="00CB70F7" w:rsidRPr="006A5A63">
        <w:rPr>
          <w:szCs w:val="22"/>
        </w:rPr>
        <w:fldChar w:fldCharType="begin"/>
      </w:r>
      <w:r w:rsidR="00CB70F7" w:rsidRPr="006A5A63">
        <w:rPr>
          <w:szCs w:val="22"/>
        </w:rPr>
        <w:instrText xml:space="preserve"> TC "</w:instrText>
      </w:r>
      <w:bookmarkStart w:id="1" w:name="_Toc520903731"/>
      <w:r w:rsidR="00CB70F7" w:rsidRPr="006A5A63">
        <w:rPr>
          <w:bCs/>
          <w:szCs w:val="22"/>
        </w:rPr>
        <w:instrText>T</w:instrText>
      </w:r>
      <w:r w:rsidR="00CB70F7" w:rsidRPr="006A5A63">
        <w:rPr>
          <w:szCs w:val="22"/>
        </w:rPr>
        <w:instrText>erm and Renewals</w:instrText>
      </w:r>
      <w:bookmarkEnd w:id="1"/>
      <w:r w:rsidR="00CB70F7" w:rsidRPr="006A5A63">
        <w:rPr>
          <w:szCs w:val="22"/>
        </w:rPr>
        <w:instrText xml:space="preserve">" \f C \l "1" </w:instrText>
      </w:r>
      <w:r w:rsidR="00CB70F7" w:rsidRPr="006A5A63">
        <w:rPr>
          <w:szCs w:val="22"/>
        </w:rPr>
        <w:fldChar w:fldCharType="end"/>
      </w:r>
      <w:r w:rsidRPr="006A5A63">
        <w:rPr>
          <w:szCs w:val="22"/>
        </w:rPr>
        <w:t>.</w:t>
      </w:r>
    </w:p>
    <w:p w14:paraId="26714E28" w14:textId="4970F94F" w:rsidR="00D31792" w:rsidRPr="00C33EC9" w:rsidRDefault="008C66C2" w:rsidP="00CE0D71">
      <w:pPr>
        <w:pStyle w:val="KHeading2"/>
        <w:numPr>
          <w:ilvl w:val="1"/>
          <w:numId w:val="24"/>
        </w:numPr>
        <w:ind w:left="1440" w:hanging="720"/>
      </w:pPr>
      <w:r w:rsidRPr="00F97200">
        <w:rPr>
          <w:u w:val="single"/>
        </w:rPr>
        <w:t xml:space="preserve">Term of </w:t>
      </w:r>
      <w:r w:rsidR="00B87CBF" w:rsidRPr="00F97200">
        <w:rPr>
          <w:u w:val="single"/>
        </w:rPr>
        <w:t>Agreement</w:t>
      </w:r>
      <w:r w:rsidR="00655107" w:rsidRPr="00DC0FA3">
        <w:t>.</w:t>
      </w:r>
      <w:r w:rsidR="00655107" w:rsidRPr="00C33EC9">
        <w:t xml:space="preserve"> This </w:t>
      </w:r>
      <w:r w:rsidR="00B87CBF">
        <w:t>Agreement</w:t>
      </w:r>
      <w:r w:rsidR="00655107" w:rsidRPr="00C33EC9">
        <w:t xml:space="preserve"> shall </w:t>
      </w:r>
      <w:r w:rsidR="00AC2621" w:rsidRPr="00C33EC9">
        <w:t>commence on</w:t>
      </w:r>
      <w:r w:rsidR="00547AB3" w:rsidRPr="00C33EC9">
        <w:t xml:space="preserve"> the Effective Date</w:t>
      </w:r>
      <w:r w:rsidR="00655107" w:rsidRPr="00C33EC9">
        <w:t xml:space="preserve"> and</w:t>
      </w:r>
      <w:r w:rsidR="00497371" w:rsidRPr="00C33EC9">
        <w:t xml:space="preserve">, unless terminated as provided </w:t>
      </w:r>
      <w:r w:rsidR="006B2481" w:rsidRPr="00C33EC9">
        <w:t xml:space="preserve">for </w:t>
      </w:r>
      <w:r w:rsidR="00497371" w:rsidRPr="00C33EC9">
        <w:t>herein,</w:t>
      </w:r>
      <w:r w:rsidR="00655107" w:rsidRPr="00C33EC9">
        <w:t xml:space="preserve"> shall continue for</w:t>
      </w:r>
      <w:r w:rsidR="000B62B8" w:rsidRPr="00C33EC9">
        <w:t xml:space="preserve"> </w:t>
      </w:r>
      <w:r w:rsidR="001F0D34">
        <w:t>three (3)</w:t>
      </w:r>
      <w:r w:rsidR="00814A0A" w:rsidRPr="00C33EC9">
        <w:t xml:space="preserve"> years.</w:t>
      </w:r>
    </w:p>
    <w:p w14:paraId="369156A6" w14:textId="16E70DE1" w:rsidR="00BF3C8A" w:rsidRPr="00E14871" w:rsidRDefault="00655107" w:rsidP="00A9393E">
      <w:pPr>
        <w:pStyle w:val="KHeading2"/>
        <w:ind w:left="1440" w:hanging="720"/>
        <w:rPr>
          <w:color w:val="FF0000"/>
        </w:rPr>
      </w:pPr>
      <w:r w:rsidRPr="00C33EC9">
        <w:rPr>
          <w:u w:val="single"/>
        </w:rPr>
        <w:t>Renewal</w:t>
      </w:r>
      <w:r w:rsidR="000C0E71" w:rsidRPr="00C33EC9">
        <w:rPr>
          <w:u w:val="single"/>
        </w:rPr>
        <w:t>s</w:t>
      </w:r>
      <w:r w:rsidRPr="00DC0FA3">
        <w:t>.</w:t>
      </w:r>
      <w:r w:rsidRPr="00C33EC9">
        <w:rPr>
          <w:b/>
        </w:rPr>
        <w:t xml:space="preserve"> </w:t>
      </w:r>
      <w:r w:rsidR="00834865" w:rsidRPr="00C33EC9">
        <w:t xml:space="preserve">This </w:t>
      </w:r>
      <w:r w:rsidR="00B87CBF">
        <w:t>Agreement</w:t>
      </w:r>
      <w:r w:rsidR="00834865" w:rsidRPr="00C33EC9">
        <w:t xml:space="preserve"> may be renewed for</w:t>
      </w:r>
      <w:r w:rsidR="000B62B8" w:rsidRPr="00C33EC9">
        <w:t xml:space="preserve"> </w:t>
      </w:r>
      <w:r w:rsidR="00C06B57">
        <w:t>one</w:t>
      </w:r>
      <w:r w:rsidR="001F0D34">
        <w:t xml:space="preserve"> (</w:t>
      </w:r>
      <w:r w:rsidR="00C06B57">
        <w:t>1</w:t>
      </w:r>
      <w:r w:rsidR="001F0D34">
        <w:t xml:space="preserve">), </w:t>
      </w:r>
      <w:r w:rsidR="00C06B57">
        <w:t>three</w:t>
      </w:r>
      <w:r w:rsidR="001F0D34">
        <w:t xml:space="preserve"> (</w:t>
      </w:r>
      <w:r w:rsidR="00C06B57">
        <w:t>3</w:t>
      </w:r>
      <w:r w:rsidR="001F0D34">
        <w:t>)</w:t>
      </w:r>
      <w:r w:rsidR="000B62B8" w:rsidRPr="00C33EC9">
        <w:t xml:space="preserve"> year </w:t>
      </w:r>
      <w:r w:rsidR="00764967" w:rsidRPr="00C33EC9">
        <w:t xml:space="preserve">renewal </w:t>
      </w:r>
      <w:r w:rsidR="00834865" w:rsidRPr="00C33EC9">
        <w:t>period</w:t>
      </w:r>
      <w:r w:rsidR="000F78C2">
        <w:t xml:space="preserve"> either</w:t>
      </w:r>
      <w:r w:rsidR="002C70DE">
        <w:t>:</w:t>
      </w:r>
      <w:r w:rsidR="000F78C2">
        <w:t xml:space="preserve"> (</w:t>
      </w:r>
      <w:r w:rsidR="002C70DE">
        <w:t>a</w:t>
      </w:r>
      <w:r w:rsidR="000F78C2">
        <w:t xml:space="preserve">) by Citizens, at its discretion </w:t>
      </w:r>
      <w:r w:rsidR="00EC1CD1" w:rsidRPr="00C33EC9">
        <w:t xml:space="preserve">upon </w:t>
      </w:r>
      <w:r w:rsidR="006E5432">
        <w:t xml:space="preserve">twenty-one </w:t>
      </w:r>
      <w:r w:rsidR="00EC1CD1" w:rsidRPr="00C33EC9">
        <w:t>(</w:t>
      </w:r>
      <w:r w:rsidR="006E5432">
        <w:t>21</w:t>
      </w:r>
      <w:r w:rsidR="00EC1CD1" w:rsidRPr="00C33EC9">
        <w:t xml:space="preserve">) </w:t>
      </w:r>
      <w:r w:rsidR="006E5432">
        <w:t xml:space="preserve">calendar </w:t>
      </w:r>
      <w:r w:rsidR="00EC1CD1" w:rsidRPr="00C33EC9">
        <w:t>days</w:t>
      </w:r>
      <w:r w:rsidR="009C6AD5">
        <w:t xml:space="preserve"> </w:t>
      </w:r>
      <w:r w:rsidR="00EC1CD1" w:rsidRPr="00C33EC9">
        <w:t>prior written notice to Vendor</w:t>
      </w:r>
      <w:r w:rsidR="00D51C49">
        <w:t>;</w:t>
      </w:r>
      <w:r w:rsidR="000F78C2">
        <w:t xml:space="preserve"> or</w:t>
      </w:r>
      <w:r w:rsidR="002C70DE">
        <w:t>,</w:t>
      </w:r>
      <w:r w:rsidR="000F78C2">
        <w:t xml:space="preserve"> (</w:t>
      </w:r>
      <w:r w:rsidR="002C70DE">
        <w:t>b</w:t>
      </w:r>
      <w:r w:rsidR="000F78C2">
        <w:t xml:space="preserve">) by mutual written agreement of the </w:t>
      </w:r>
      <w:r w:rsidR="00D51C49">
        <w:t>P</w:t>
      </w:r>
      <w:r w:rsidR="000F78C2">
        <w:t>arties</w:t>
      </w:r>
      <w:r w:rsidR="002011D9">
        <w:t>.</w:t>
      </w:r>
      <w:r w:rsidR="00EC1CD1" w:rsidRPr="00C33EC9">
        <w:t xml:space="preserve"> Renewals shall be </w:t>
      </w:r>
      <w:r w:rsidR="0096220C" w:rsidRPr="00C33EC9">
        <w:t>subject to the same terms and conditions set forth in th</w:t>
      </w:r>
      <w:r w:rsidR="00B9119C" w:rsidRPr="00C33EC9">
        <w:t>is</w:t>
      </w:r>
      <w:r w:rsidR="0096220C" w:rsidRPr="00C33EC9">
        <w:t xml:space="preserve"> </w:t>
      </w:r>
      <w:r w:rsidR="00B87CBF">
        <w:t>Agreement</w:t>
      </w:r>
      <w:r w:rsidR="0096220C" w:rsidRPr="00C33EC9">
        <w:t xml:space="preserve"> </w:t>
      </w:r>
      <w:r w:rsidR="00EC1CD1" w:rsidRPr="00C33EC9">
        <w:t xml:space="preserve">at the time of renewal, including </w:t>
      </w:r>
      <w:r w:rsidR="0096220C" w:rsidRPr="00C33EC9">
        <w:t xml:space="preserve">any amendments signed by the </w:t>
      </w:r>
      <w:r w:rsidR="00AC2621" w:rsidRPr="00C33EC9">
        <w:t>P</w:t>
      </w:r>
      <w:r w:rsidR="0096220C" w:rsidRPr="00C33EC9">
        <w:t>arties</w:t>
      </w:r>
      <w:r w:rsidR="00636E27" w:rsidRPr="00C33EC9">
        <w:t>.</w:t>
      </w:r>
      <w:r w:rsidR="00764967" w:rsidRPr="00C33EC9">
        <w:t xml:space="preserve"> </w:t>
      </w:r>
    </w:p>
    <w:p w14:paraId="638CE06E" w14:textId="03121CDA" w:rsidR="002279A6" w:rsidRPr="006A5A63" w:rsidRDefault="002279A6" w:rsidP="00E14871">
      <w:pPr>
        <w:pStyle w:val="KHeading1"/>
        <w:tabs>
          <w:tab w:val="left" w:pos="2279"/>
          <w:tab w:val="left" w:pos="2281"/>
        </w:tabs>
        <w:autoSpaceDE w:val="0"/>
        <w:autoSpaceDN w:val="0"/>
        <w:adjustRightInd/>
        <w:textAlignment w:val="auto"/>
        <w:rPr>
          <w:rFonts w:cs="Arial"/>
          <w:szCs w:val="22"/>
        </w:rPr>
      </w:pPr>
      <w:r w:rsidRPr="00B33B63">
        <w:rPr>
          <w:b/>
          <w:bCs/>
          <w:u w:val="single"/>
        </w:rPr>
        <w:t>Services</w:t>
      </w:r>
      <w:r w:rsidR="00B33B63" w:rsidRPr="00B33B63">
        <w:rPr>
          <w:b/>
          <w:bCs/>
          <w:u w:val="single"/>
        </w:rPr>
        <w:t>; Service Requirements.</w:t>
      </w:r>
    </w:p>
    <w:p w14:paraId="7E8E4D3D" w14:textId="4CC7F6F7" w:rsidR="00B33B63" w:rsidRDefault="00B33B63" w:rsidP="00B33B63">
      <w:pPr>
        <w:pStyle w:val="KHeading2"/>
        <w:numPr>
          <w:ilvl w:val="1"/>
          <w:numId w:val="52"/>
        </w:numPr>
        <w:ind w:left="1440" w:hanging="720"/>
      </w:pPr>
      <w:r>
        <w:rPr>
          <w:u w:val="single"/>
        </w:rPr>
        <w:t>Description.</w:t>
      </w:r>
      <w:r>
        <w:t xml:space="preserve"> Vendor shall provide the following Services for magnetic ink character recognition (“MICR”) printers:</w:t>
      </w:r>
      <w:r w:rsidRPr="00CE0D71">
        <w:t xml:space="preserve"> </w:t>
      </w:r>
    </w:p>
    <w:p w14:paraId="2815E125" w14:textId="2A92CB86" w:rsidR="006F03D5" w:rsidRDefault="006F03D5" w:rsidP="00B33B63">
      <w:pPr>
        <w:pStyle w:val="KHeading3"/>
        <w:tabs>
          <w:tab w:val="clear" w:pos="2160"/>
        </w:tabs>
        <w:ind w:left="2160" w:hanging="684"/>
      </w:pPr>
      <w:r>
        <w:t>monthly usage reports;</w:t>
      </w:r>
    </w:p>
    <w:p w14:paraId="5C2D6849" w14:textId="08F5FF63" w:rsidR="00B33B63" w:rsidRDefault="00672AD4" w:rsidP="00B33B63">
      <w:pPr>
        <w:pStyle w:val="KHeading3"/>
        <w:tabs>
          <w:tab w:val="clear" w:pos="2160"/>
        </w:tabs>
        <w:ind w:left="2160" w:hanging="684"/>
      </w:pPr>
      <w:r>
        <w:t>p</w:t>
      </w:r>
      <w:r w:rsidR="00B33B63" w:rsidRPr="00CE0D71">
        <w:t>reventative maintenance, all parts and labor, including those considered expendable or consumable (</w:t>
      </w:r>
      <w:r w:rsidR="00F115D6">
        <w:t xml:space="preserve">including but not limited to </w:t>
      </w:r>
      <w:r w:rsidR="00B33B63" w:rsidRPr="00CE0D71">
        <w:t>ribbons, drums, OPC belts, thermal printheads, maintenance kits, etc.), in accordance with manufacture</w:t>
      </w:r>
      <w:r w:rsidR="00B33B63">
        <w:t>r</w:t>
      </w:r>
      <w:r w:rsidR="00B33B63" w:rsidRPr="00CE0D71">
        <w:t>’s recommendations</w:t>
      </w:r>
      <w:r w:rsidR="00B33B63">
        <w:t xml:space="preserve">. </w:t>
      </w:r>
      <w:r w:rsidR="00B33B63" w:rsidRPr="00CE0D71">
        <w:t>Supplies and maintenance parts will either be new, or remanufactured, at Vendor’s sole discretion</w:t>
      </w:r>
      <w:r w:rsidR="00B33B63">
        <w:t>;</w:t>
      </w:r>
    </w:p>
    <w:p w14:paraId="2DAC737D" w14:textId="406F81CC" w:rsidR="00CE0D71" w:rsidRDefault="00025442" w:rsidP="00B33B63">
      <w:pPr>
        <w:pStyle w:val="KHeading3"/>
        <w:tabs>
          <w:tab w:val="clear" w:pos="2160"/>
        </w:tabs>
        <w:ind w:left="2160" w:hanging="684"/>
      </w:pPr>
      <w:r>
        <w:t>b</w:t>
      </w:r>
      <w:r w:rsidRPr="00CE0D71">
        <w:t>reak</w:t>
      </w:r>
      <w:r w:rsidR="00CE0D71" w:rsidRPr="00CE0D71">
        <w:t>/fix repair support</w:t>
      </w:r>
      <w:r w:rsidR="004B7654">
        <w:t xml:space="preserve"> services</w:t>
      </w:r>
      <w:r w:rsidR="00110AF6">
        <w:t xml:space="preserve"> to resolution</w:t>
      </w:r>
      <w:r w:rsidR="00D36C8F">
        <w:t xml:space="preserve"> within four (4) business hours of Citizens</w:t>
      </w:r>
      <w:r w:rsidR="00236D5C">
        <w:t>’</w:t>
      </w:r>
      <w:r w:rsidR="00D36C8F">
        <w:t xml:space="preserve"> notification to vendor</w:t>
      </w:r>
      <w:r w:rsidR="009049B3">
        <w:t>;</w:t>
      </w:r>
      <w:r w:rsidR="00882BDE">
        <w:t xml:space="preserve"> </w:t>
      </w:r>
    </w:p>
    <w:p w14:paraId="4BD745FF" w14:textId="253884E8" w:rsidR="00CE0D71" w:rsidRDefault="00025442" w:rsidP="00B33B63">
      <w:pPr>
        <w:pStyle w:val="KHeading3"/>
        <w:tabs>
          <w:tab w:val="clear" w:pos="2160"/>
        </w:tabs>
        <w:ind w:left="2160" w:hanging="684"/>
      </w:pPr>
      <w:r>
        <w:t>o</w:t>
      </w:r>
      <w:r w:rsidRPr="00CE0D71">
        <w:t>n</w:t>
      </w:r>
      <w:r w:rsidR="00B33B63" w:rsidRPr="00CE0D71">
        <w:t xml:space="preserve">-site periodic </w:t>
      </w:r>
      <w:r w:rsidR="006F03D5">
        <w:t xml:space="preserve">(quarterly minimum) </w:t>
      </w:r>
      <w:r w:rsidR="00B33B63">
        <w:t>cleaning and</w:t>
      </w:r>
      <w:r w:rsidR="004B7654">
        <w:t xml:space="preserve"> maintenance</w:t>
      </w:r>
      <w:r w:rsidR="00B33B63">
        <w:t xml:space="preserve"> </w:t>
      </w:r>
      <w:r w:rsidR="00B33B63" w:rsidRPr="00CE0D71">
        <w:t>inspections</w:t>
      </w:r>
      <w:r w:rsidR="00B33B63">
        <w:t xml:space="preserve"> as requested by Citizens</w:t>
      </w:r>
      <w:r w:rsidR="00B33B63" w:rsidRPr="00CE0D71">
        <w:t xml:space="preserve"> (</w:t>
      </w:r>
      <w:r w:rsidR="00B33B63">
        <w:t>d</w:t>
      </w:r>
      <w:r w:rsidR="00B33B63" w:rsidRPr="00CE0D71">
        <w:t>uring regular business hours of availability)</w:t>
      </w:r>
      <w:r w:rsidR="00B33B63">
        <w:t xml:space="preserve"> in accordance with printer manufacturer’s recommendations</w:t>
      </w:r>
      <w:r>
        <w:t>;</w:t>
      </w:r>
      <w:r w:rsidRPr="00025442">
        <w:t xml:space="preserve"> </w:t>
      </w:r>
      <w:r>
        <w:t>and,</w:t>
      </w:r>
    </w:p>
    <w:p w14:paraId="1EDCDCB3" w14:textId="6F6CB160" w:rsidR="00C06B57" w:rsidRDefault="00025442" w:rsidP="00B33B63">
      <w:pPr>
        <w:pStyle w:val="KHeading3"/>
        <w:tabs>
          <w:tab w:val="clear" w:pos="2160"/>
        </w:tabs>
        <w:ind w:left="2160" w:hanging="684"/>
      </w:pPr>
      <w:r>
        <w:t xml:space="preserve">supply </w:t>
      </w:r>
      <w:r w:rsidR="001D450F">
        <w:t xml:space="preserve">MICR </w:t>
      </w:r>
      <w:r w:rsidR="009E14CB">
        <w:t>T</w:t>
      </w:r>
      <w:r w:rsidR="00C06B57">
        <w:t>oner</w:t>
      </w:r>
      <w:r w:rsidR="001D450F">
        <w:t xml:space="preserve"> </w:t>
      </w:r>
      <w:r w:rsidR="00085279">
        <w:t xml:space="preserve">compatible with Citizens’ MICR printers, </w:t>
      </w:r>
      <w:r w:rsidR="001D450F">
        <w:t xml:space="preserve">as </w:t>
      </w:r>
      <w:r w:rsidR="00FF44E7">
        <w:t>requested</w:t>
      </w:r>
      <w:r w:rsidR="001D450F">
        <w:t xml:space="preserve"> by Citizens.</w:t>
      </w:r>
    </w:p>
    <w:p w14:paraId="51B07B6A" w14:textId="77777777" w:rsidR="00A03477" w:rsidRPr="00D226E9" w:rsidRDefault="00A03477" w:rsidP="00B33B63">
      <w:pPr>
        <w:pStyle w:val="KHeading2"/>
        <w:ind w:left="1440" w:hanging="720"/>
      </w:pPr>
      <w:r w:rsidRPr="00D226E9">
        <w:rPr>
          <w:u w:val="single"/>
        </w:rPr>
        <w:t>Vendor Staff Qualifications and Removal</w:t>
      </w:r>
      <w:r w:rsidRPr="00D226E9">
        <w:t xml:space="preserve">. All Vendor Staff shall be properly trained and qualified. Upon request, Vendor shall furnish a copy of all technical certifications or other proof of qualification to Citizens. All Vendor Staff must comply with all reasonable administrative requirements of Citizens and with all controlling </w:t>
      </w:r>
      <w:r>
        <w:t xml:space="preserve">statutes, </w:t>
      </w:r>
      <w:r w:rsidRPr="00D226E9">
        <w:t>laws</w:t>
      </w:r>
      <w:r>
        <w:t>,</w:t>
      </w:r>
      <w:r w:rsidRPr="00D226E9">
        <w:t xml:space="preserve"> and regulations relevant to the Services.</w:t>
      </w:r>
      <w:r w:rsidRPr="00D226E9" w:rsidDel="00D14322">
        <w:t xml:space="preserve"> </w:t>
      </w:r>
    </w:p>
    <w:p w14:paraId="2DFB54C6" w14:textId="7A7B7B87" w:rsidR="00A03477" w:rsidRDefault="00A03477" w:rsidP="00B33B63">
      <w:pPr>
        <w:pStyle w:val="KHeading2"/>
        <w:numPr>
          <w:ilvl w:val="0"/>
          <w:numId w:val="0"/>
        </w:numPr>
        <w:ind w:left="1440"/>
      </w:pPr>
      <w:r w:rsidRPr="00D226E9">
        <w:t>If Vendor knows or learns of circumstances indicating that a Vendor Staff member (</w:t>
      </w:r>
      <w:proofErr w:type="spellStart"/>
      <w:r w:rsidRPr="00D226E9">
        <w:t>i</w:t>
      </w:r>
      <w:proofErr w:type="spellEnd"/>
      <w:r w:rsidRPr="00D226E9">
        <w:t>) lacks the proper training or qualifications to perform the Services</w:t>
      </w:r>
      <w:r>
        <w:t>;</w:t>
      </w:r>
      <w:r w:rsidRPr="00D226E9">
        <w:t xml:space="preserve"> or</w:t>
      </w:r>
      <w:r>
        <w:t>,</w:t>
      </w:r>
      <w:r w:rsidRPr="00D226E9">
        <w:t xml:space="preserve"> (ii) is lacking in honesty or integrity, then Vendor will not allow that person to perform Services under this Agreement.  Further, if Citizens determines that a Vendor Staff member is unsuitable for his/her role under this </w:t>
      </w:r>
      <w:r w:rsidRPr="00144FD9">
        <w:t xml:space="preserve">Agreement for any reason, including but not limited to knowledge, skills, experience, abilities, academic qualifications, credentialing, licensure, veracity, or conduct, </w:t>
      </w:r>
      <w:r w:rsidRPr="00D226E9">
        <w:t>Citizens has the right to disallow that person from performing in such role and to require Vendor to promptly provide a qualified replacement reasonably acceptable to Citizens.</w:t>
      </w:r>
    </w:p>
    <w:p w14:paraId="4FE63837" w14:textId="77777777" w:rsidR="00A03477" w:rsidRPr="00B33B63" w:rsidRDefault="00A03477" w:rsidP="00A03477">
      <w:pPr>
        <w:pStyle w:val="KHeading2"/>
        <w:ind w:left="1440" w:hanging="720"/>
      </w:pPr>
      <w:r w:rsidRPr="00B33B63">
        <w:rPr>
          <w:u w:val="single"/>
        </w:rPr>
        <w:t>Other Background Checks</w:t>
      </w:r>
      <w:r w:rsidRPr="00B33B63">
        <w:t xml:space="preserve">. Vendor shall also conduct reasonable background </w:t>
      </w:r>
      <w:r w:rsidRPr="00B33B63">
        <w:lastRenderedPageBreak/>
        <w:t xml:space="preserve">checks to verify that the proposed Vendor Staff has met the minimum education, qualifications, or experience requirements as required by Citizens’ Contract Manager or designee. </w:t>
      </w:r>
    </w:p>
    <w:p w14:paraId="03A10CE4" w14:textId="4BE07AB7" w:rsidR="00A03477" w:rsidRPr="00CE0D71" w:rsidRDefault="00A03477" w:rsidP="00B33B63">
      <w:pPr>
        <w:pStyle w:val="KHeading2"/>
        <w:ind w:left="1440" w:hanging="720"/>
      </w:pPr>
      <w:r w:rsidRPr="00B33B63">
        <w:rPr>
          <w:u w:val="single"/>
        </w:rPr>
        <w:t>Compliance with Fair Credit Reporting Act</w:t>
      </w:r>
      <w:r w:rsidRPr="00B33B63">
        <w:t>. Vendor will comply with all requirements of the federal Fair Credit Reporting Act, including the provision to Vendor Staff of all required pre-notification and post-report notices. Vendor is responsible for any adverse action notices that may apply to its employment decisions.</w:t>
      </w:r>
    </w:p>
    <w:p w14:paraId="79BF5246" w14:textId="27A21992" w:rsidR="00BA0DE5" w:rsidRPr="006510D9" w:rsidRDefault="00BA0DE5" w:rsidP="00BA0DE5">
      <w:pPr>
        <w:pStyle w:val="KHeading1"/>
        <w:rPr>
          <w:b/>
          <w:bCs/>
          <w:u w:val="single"/>
        </w:rPr>
      </w:pPr>
      <w:r w:rsidRPr="006510D9">
        <w:rPr>
          <w:b/>
          <w:bCs/>
          <w:u w:val="single"/>
        </w:rPr>
        <w:t>Service Warrant</w:t>
      </w:r>
      <w:r>
        <w:rPr>
          <w:b/>
          <w:bCs/>
          <w:u w:val="single"/>
        </w:rPr>
        <w:t>ie</w:t>
      </w:r>
      <w:r w:rsidRPr="006510D9">
        <w:rPr>
          <w:b/>
          <w:bCs/>
          <w:u w:val="single"/>
        </w:rPr>
        <w:t>s and Standards</w:t>
      </w:r>
      <w:r w:rsidRPr="006510D9">
        <w:rPr>
          <w:b/>
          <w:bCs/>
        </w:rPr>
        <w:t>.</w:t>
      </w:r>
    </w:p>
    <w:p w14:paraId="792DB729" w14:textId="6CB8EF42" w:rsidR="00A03477" w:rsidRDefault="00A03477" w:rsidP="00F36D98">
      <w:pPr>
        <w:pStyle w:val="KHeading2"/>
        <w:numPr>
          <w:ilvl w:val="1"/>
          <w:numId w:val="47"/>
        </w:numPr>
        <w:ind w:left="1440" w:hanging="720"/>
      </w:pPr>
      <w:r w:rsidRPr="00A03477">
        <w:rPr>
          <w:u w:val="single"/>
        </w:rPr>
        <w:t>General Warranty</w:t>
      </w:r>
      <w:r w:rsidRPr="00C33EC9">
        <w:t>. Vendor warrants that the Services will be performed and delivered in a professiona</w:t>
      </w:r>
      <w:r w:rsidR="00F36D98">
        <w:t xml:space="preserve">l first-class </w:t>
      </w:r>
      <w:r w:rsidRPr="006B5EFA">
        <w:t>manner</w:t>
      </w:r>
      <w:r w:rsidRPr="00A03477">
        <w:rPr>
          <w:color w:val="FF0000"/>
        </w:rPr>
        <w:t xml:space="preserve"> </w:t>
      </w:r>
      <w:r w:rsidRPr="00C33EC9">
        <w:t xml:space="preserve">in accordance with this </w:t>
      </w:r>
      <w:r>
        <w:t>Agreement</w:t>
      </w:r>
      <w:r w:rsidRPr="00C33EC9">
        <w:t xml:space="preserve"> and the standar</w:t>
      </w:r>
      <w:r>
        <w:t xml:space="preserve">ds prevailing in the industry. </w:t>
      </w:r>
      <w:r w:rsidRPr="00C33EC9">
        <w:t xml:space="preserve">To this end, </w:t>
      </w:r>
      <w:r>
        <w:t xml:space="preserve">and without limiting any other remedies of Citizens, </w:t>
      </w:r>
      <w:r w:rsidRPr="00C33EC9">
        <w:t xml:space="preserve">Vendor will undertake the following actions without additional consideration during the term of this </w:t>
      </w:r>
      <w:r>
        <w:t>Agreement</w:t>
      </w:r>
      <w:r w:rsidRPr="00C33EC9">
        <w:t xml:space="preserve"> and for one (1) </w:t>
      </w:r>
      <w:r>
        <w:t xml:space="preserve">year thereafter: </w:t>
      </w:r>
      <w:r w:rsidRPr="00C33EC9">
        <w:t>(a) promptly make necessary revisions or corrections to resolve any errors and omissions on the part of Vendor; and</w:t>
      </w:r>
      <w:r>
        <w:t>,</w:t>
      </w:r>
      <w:r w:rsidRPr="00C33EC9">
        <w:t xml:space="preserve"> (b) confer with Citizens as Citizens deems appropriate for the purpose of interpreting any of the Services or information furnished.  Acceptance of or payment for the Services by Citizens shall not relieve Ven</w:t>
      </w:r>
      <w:r>
        <w:t xml:space="preserve">dor of these responsibilities. </w:t>
      </w:r>
      <w:r w:rsidRPr="00C33EC9">
        <w:t>The warrant</w:t>
      </w:r>
      <w:r>
        <w:t>y</w:t>
      </w:r>
      <w:r w:rsidRPr="00C33EC9">
        <w:t xml:space="preserve"> and covenants in this </w:t>
      </w:r>
      <w:r>
        <w:t>Section</w:t>
      </w:r>
      <w:r w:rsidRPr="00C33EC9">
        <w:t xml:space="preserve"> will extend to and bind </w:t>
      </w:r>
      <w:r>
        <w:t>Vendor’s</w:t>
      </w:r>
      <w:r w:rsidRPr="00C33EC9">
        <w:t xml:space="preserve"> subcontractors, if any.</w:t>
      </w:r>
    </w:p>
    <w:p w14:paraId="2F6D609E" w14:textId="5DC47624" w:rsidR="00A03477" w:rsidRPr="00F36D98" w:rsidRDefault="00A03477" w:rsidP="00F36D98">
      <w:pPr>
        <w:pStyle w:val="KHeading2"/>
        <w:numPr>
          <w:ilvl w:val="1"/>
          <w:numId w:val="21"/>
        </w:numPr>
        <w:ind w:left="1440" w:hanging="720"/>
      </w:pPr>
      <w:r w:rsidRPr="00C33EC9">
        <w:rPr>
          <w:u w:val="single"/>
        </w:rPr>
        <w:t>Ability to Perform</w:t>
      </w:r>
      <w:r>
        <w:t xml:space="preserve">. </w:t>
      </w:r>
      <w:r w:rsidRPr="00C33EC9">
        <w:t>As of the Effective Date, Vendor warrants that, to the best of its knowledge, there is no pending or threatened action, proceeding, or investigation, or any other legal or financial condition, that would in any way prohibit, restrain</w:t>
      </w:r>
      <w:r>
        <w:t>,</w:t>
      </w:r>
      <w:r w:rsidRPr="00C33EC9">
        <w:t xml:space="preserve"> or diminish Vendor’s ability to perform the Services or satisfy its contractual</w:t>
      </w:r>
      <w:r>
        <w:t xml:space="preserve"> obligations. </w:t>
      </w:r>
      <w:r w:rsidRPr="00C33EC9">
        <w:t xml:space="preserve">During the term of this </w:t>
      </w:r>
      <w:r>
        <w:t>Agreement</w:t>
      </w:r>
      <w:r w:rsidRPr="00C33EC9">
        <w:t xml:space="preserve">, Vendor shall </w:t>
      </w:r>
      <w:r>
        <w:t xml:space="preserve">immediately </w:t>
      </w:r>
      <w:r w:rsidRPr="00C33EC9">
        <w:t xml:space="preserve">notify Citizens </w:t>
      </w:r>
      <w:r>
        <w:t xml:space="preserve">Contract Administrator </w:t>
      </w:r>
      <w:r w:rsidRPr="00C33EC9">
        <w:t xml:space="preserve">of any change in circumstances that would in any way diminish Vendor’s </w:t>
      </w:r>
      <w:r w:rsidRPr="00465C70">
        <w:t>ability to perform the Services or satisfy its contractual obligations.</w:t>
      </w:r>
      <w:r>
        <w:t xml:space="preserve"> Whether by Vendor’s notification, Citizens’ sole determination, or otherwise, in any case where Citizens is concerned with Vendor’s ability or willingness to perform this Agreement is in jeopardy, Vendor acknowledges and agrees that, upon Citizens’ request, Vendor shall timely provide Citizens with all reasonable assurances requested by Citizens to demonstrate that Vendor will continue to be able and willing to perform this Agreement.</w:t>
      </w:r>
    </w:p>
    <w:p w14:paraId="6AEEFD63" w14:textId="0E78BBB5" w:rsidR="00BA0DE5" w:rsidRDefault="00BA0DE5" w:rsidP="00F36D98">
      <w:pPr>
        <w:pStyle w:val="KHeading2"/>
        <w:ind w:left="1440" w:hanging="720"/>
      </w:pPr>
      <w:r w:rsidRPr="00F36D98">
        <w:rPr>
          <w:u w:val="single"/>
        </w:rPr>
        <w:t>Responding to Hurricanes and Other Catastrophic Events in Florida.</w:t>
      </w:r>
      <w:r w:rsidRPr="006510D9">
        <w:t xml:space="preserve"> The Parties acknowledge and agree that (a) the Services are essential to Citizens’ business operations and its ability to respond to hurricanes and other catastrophic events in Florida; and, (b) Vendor will be ready, willing, and able to provide the Services during and after such events unless doing so would be illegal, impossible, or unreasonably dangerous. This Section supersedes the Force Majeure provisions in </w:t>
      </w:r>
      <w:r w:rsidRPr="004B7654">
        <w:t xml:space="preserve">Section </w:t>
      </w:r>
      <w:r w:rsidR="004B7654" w:rsidRPr="004B7654">
        <w:t>15</w:t>
      </w:r>
      <w:r w:rsidR="00C72211" w:rsidRPr="004B7654">
        <w:t>.</w:t>
      </w:r>
      <w:r w:rsidR="004B7654" w:rsidRPr="004B7654">
        <w:t>16</w:t>
      </w:r>
      <w:r w:rsidRPr="004B7654">
        <w:t>. below.</w:t>
      </w:r>
    </w:p>
    <w:p w14:paraId="14C83B19" w14:textId="3E6C3F55" w:rsidR="00F36D98" w:rsidRDefault="00F36D98" w:rsidP="00F36D98">
      <w:pPr>
        <w:pStyle w:val="KHeading2"/>
        <w:ind w:left="1440" w:hanging="720"/>
      </w:pPr>
      <w:r w:rsidRPr="00C471A1">
        <w:rPr>
          <w:bCs w:val="0"/>
          <w:u w:val="single"/>
        </w:rPr>
        <w:t>Monitoring of Performance</w:t>
      </w:r>
      <w:r>
        <w:t xml:space="preserve">. </w:t>
      </w:r>
      <w:r w:rsidRPr="00583D84">
        <w:t xml:space="preserve">Vendor shall continuously monitor and record its performance to ensure that all of Vendor's responsibilities and obligations hereunder are being met and fulfilled. Citizens may conduct programmatic and other administrative contract monitoring during the term of this </w:t>
      </w:r>
      <w:r>
        <w:t xml:space="preserve">Agreement. </w:t>
      </w:r>
      <w:r w:rsidRPr="00583D84">
        <w:t>The purpose of this monitoring is to ensure that all of Vendor's responsibilities and obligation</w:t>
      </w:r>
      <w:r>
        <w:t xml:space="preserve">s are being met and fulfilled. </w:t>
      </w:r>
      <w:r w:rsidRPr="00583D84">
        <w:t>Such monitoring may include on-site visits, report reviews, invoice reviews, compliance reviews, and a review of any other areas reasonably necessary.</w:t>
      </w:r>
      <w:r>
        <w:t xml:space="preserve"> Vendor acknowledges and agrees that Citizens may </w:t>
      </w:r>
      <w:r>
        <w:lastRenderedPageBreak/>
        <w:t>also monitor and record Vendor Staff communications to the extent they occur within or are connected to any Citizens resource, such as electronic or telecommunications systems.</w:t>
      </w:r>
    </w:p>
    <w:p w14:paraId="169CE1A5" w14:textId="77777777" w:rsidR="00BA0DE5" w:rsidRPr="00C33EC9" w:rsidRDefault="00BA0DE5" w:rsidP="006510D9">
      <w:pPr>
        <w:pStyle w:val="KHeading2"/>
        <w:spacing w:before="0" w:after="0"/>
        <w:ind w:left="1440" w:hanging="720"/>
        <w:rPr>
          <w:rFonts w:eastAsia="Calibri"/>
        </w:rPr>
      </w:pPr>
      <w:r w:rsidRPr="00C33EC9">
        <w:rPr>
          <w:rFonts w:eastAsia="Calibri"/>
          <w:u w:val="single"/>
        </w:rPr>
        <w:t>Service Level Standards</w:t>
      </w:r>
      <w:r w:rsidRPr="00C33EC9">
        <w:rPr>
          <w:rFonts w:eastAsia="Calibri"/>
        </w:rPr>
        <w:t xml:space="preserve">.  </w:t>
      </w:r>
    </w:p>
    <w:p w14:paraId="185AE94E" w14:textId="77777777" w:rsidR="004479D3" w:rsidRPr="006510D9" w:rsidRDefault="00BA0DE5" w:rsidP="00BA0DE5">
      <w:pPr>
        <w:pStyle w:val="KHeading3"/>
        <w:ind w:left="2160" w:hanging="720"/>
      </w:pPr>
      <w:r w:rsidRPr="00C33EC9">
        <w:rPr>
          <w:rFonts w:eastAsia="Calibri"/>
          <w:u w:val="single"/>
        </w:rPr>
        <w:t>Description</w:t>
      </w:r>
      <w:r>
        <w:rPr>
          <w:rFonts w:eastAsia="Calibri"/>
        </w:rPr>
        <w:t xml:space="preserve">. </w:t>
      </w:r>
      <w:r w:rsidRPr="00C33EC9">
        <w:rPr>
          <w:rFonts w:eastAsia="Calibri"/>
        </w:rPr>
        <w:t xml:space="preserve">In addition to all other requirements in this </w:t>
      </w:r>
      <w:r>
        <w:rPr>
          <w:rFonts w:eastAsia="Calibri"/>
        </w:rPr>
        <w:t>Agreement</w:t>
      </w:r>
      <w:r w:rsidRPr="00C33EC9">
        <w:rPr>
          <w:rFonts w:eastAsia="Calibri"/>
        </w:rPr>
        <w:t>, Vendor shall use reasonable and good faith efforts to meet the Service Level Standards set forth</w:t>
      </w:r>
      <w:r w:rsidR="004479D3">
        <w:rPr>
          <w:rFonts w:eastAsia="Calibri"/>
        </w:rPr>
        <w:t xml:space="preserve"> below:</w:t>
      </w:r>
    </w:p>
    <w:tbl>
      <w:tblPr>
        <w:tblStyle w:val="TableGrid"/>
        <w:tblW w:w="8100" w:type="dxa"/>
        <w:tblInd w:w="1435" w:type="dxa"/>
        <w:tblLook w:val="04A0" w:firstRow="1" w:lastRow="0" w:firstColumn="1" w:lastColumn="0" w:noHBand="0" w:noVBand="1"/>
      </w:tblPr>
      <w:tblGrid>
        <w:gridCol w:w="3510"/>
        <w:gridCol w:w="2340"/>
        <w:gridCol w:w="2250"/>
      </w:tblGrid>
      <w:tr w:rsidR="00B718C3" w14:paraId="7EC31320" w14:textId="77777777" w:rsidTr="00BC3151">
        <w:tc>
          <w:tcPr>
            <w:tcW w:w="3510" w:type="dxa"/>
          </w:tcPr>
          <w:p w14:paraId="5C4248E9" w14:textId="51508914" w:rsidR="00B718C3" w:rsidRDefault="00B718C3" w:rsidP="006510D9">
            <w:pPr>
              <w:pStyle w:val="KHeading2"/>
              <w:numPr>
                <w:ilvl w:val="0"/>
                <w:numId w:val="0"/>
              </w:numPr>
              <w:jc w:val="left"/>
              <w:rPr>
                <w:rFonts w:eastAsia="Calibri"/>
              </w:rPr>
            </w:pPr>
            <w:r w:rsidRPr="002A12B8">
              <w:rPr>
                <w:rFonts w:eastAsia="Calibri"/>
                <w:b/>
                <w:bCs w:val="0"/>
              </w:rPr>
              <w:t>Service Level Standard</w:t>
            </w:r>
          </w:p>
        </w:tc>
        <w:tc>
          <w:tcPr>
            <w:tcW w:w="2340" w:type="dxa"/>
          </w:tcPr>
          <w:p w14:paraId="75F3E9EF" w14:textId="19A7B0B1" w:rsidR="00B718C3" w:rsidRDefault="00B718C3" w:rsidP="006510D9">
            <w:pPr>
              <w:pStyle w:val="KHeading2"/>
              <w:numPr>
                <w:ilvl w:val="0"/>
                <w:numId w:val="0"/>
              </w:numPr>
              <w:jc w:val="left"/>
              <w:rPr>
                <w:rFonts w:eastAsia="Calibri"/>
              </w:rPr>
            </w:pPr>
            <w:r>
              <w:rPr>
                <w:rFonts w:eastAsia="Calibri"/>
                <w:b/>
                <w:bCs w:val="0"/>
              </w:rPr>
              <w:t>Description</w:t>
            </w:r>
          </w:p>
        </w:tc>
        <w:tc>
          <w:tcPr>
            <w:tcW w:w="2250" w:type="dxa"/>
          </w:tcPr>
          <w:p w14:paraId="2962671E" w14:textId="51322368" w:rsidR="00B718C3" w:rsidRDefault="00B718C3" w:rsidP="006510D9">
            <w:pPr>
              <w:pStyle w:val="KHeading2"/>
              <w:numPr>
                <w:ilvl w:val="0"/>
                <w:numId w:val="0"/>
              </w:numPr>
              <w:jc w:val="left"/>
              <w:rPr>
                <w:rFonts w:eastAsia="Calibri"/>
              </w:rPr>
            </w:pPr>
            <w:r>
              <w:rPr>
                <w:rFonts w:eastAsia="Calibri"/>
                <w:b/>
                <w:bCs w:val="0"/>
              </w:rPr>
              <w:t>Service Credit Due</w:t>
            </w:r>
          </w:p>
        </w:tc>
      </w:tr>
      <w:tr w:rsidR="00B718C3" w14:paraId="6E0CE97C" w14:textId="77777777" w:rsidTr="00BC3151">
        <w:tc>
          <w:tcPr>
            <w:tcW w:w="3510" w:type="dxa"/>
          </w:tcPr>
          <w:p w14:paraId="1CC1A964" w14:textId="28BD915C" w:rsidR="00B718C3" w:rsidRDefault="00110AF6" w:rsidP="006510D9">
            <w:pPr>
              <w:pStyle w:val="KHeading2"/>
              <w:numPr>
                <w:ilvl w:val="0"/>
                <w:numId w:val="0"/>
              </w:numPr>
              <w:jc w:val="left"/>
              <w:rPr>
                <w:rFonts w:eastAsia="Calibri"/>
              </w:rPr>
            </w:pPr>
            <w:r>
              <w:rPr>
                <w:rFonts w:eastAsia="Calibri"/>
              </w:rPr>
              <w:t>Break/fix r</w:t>
            </w:r>
            <w:r w:rsidR="00B718C3">
              <w:rPr>
                <w:rFonts w:eastAsia="Calibri"/>
              </w:rPr>
              <w:t>epair</w:t>
            </w:r>
            <w:r w:rsidR="00085279">
              <w:rPr>
                <w:rFonts w:eastAsia="Calibri"/>
              </w:rPr>
              <w:t xml:space="preserve"> </w:t>
            </w:r>
            <w:r w:rsidR="00B718C3">
              <w:rPr>
                <w:rFonts w:eastAsia="Calibri"/>
              </w:rPr>
              <w:t>resolution within four (4) business hours of Citizens</w:t>
            </w:r>
            <w:r w:rsidR="00236D5C">
              <w:rPr>
                <w:rFonts w:eastAsia="Calibri"/>
              </w:rPr>
              <w:t>’</w:t>
            </w:r>
            <w:r w:rsidR="00B718C3">
              <w:rPr>
                <w:rFonts w:eastAsia="Calibri"/>
              </w:rPr>
              <w:t xml:space="preserve"> notification to Vendor</w:t>
            </w:r>
          </w:p>
        </w:tc>
        <w:tc>
          <w:tcPr>
            <w:tcW w:w="2340" w:type="dxa"/>
          </w:tcPr>
          <w:p w14:paraId="4C8C110F" w14:textId="33B35E2D" w:rsidR="00B718C3" w:rsidRDefault="006510D9" w:rsidP="006510D9">
            <w:pPr>
              <w:pStyle w:val="KHeading2"/>
              <w:numPr>
                <w:ilvl w:val="0"/>
                <w:numId w:val="0"/>
              </w:numPr>
              <w:jc w:val="left"/>
              <w:rPr>
                <w:rFonts w:eastAsia="Calibri"/>
              </w:rPr>
            </w:pPr>
            <w:r>
              <w:rPr>
                <w:rFonts w:eastAsia="Calibri"/>
              </w:rPr>
              <w:t>Vendor to provide resolution within four (4) business hours of notification</w:t>
            </w:r>
          </w:p>
        </w:tc>
        <w:tc>
          <w:tcPr>
            <w:tcW w:w="2250" w:type="dxa"/>
          </w:tcPr>
          <w:p w14:paraId="34773AFA" w14:textId="1B7DF13E" w:rsidR="00B718C3" w:rsidRDefault="006510D9" w:rsidP="006510D9">
            <w:pPr>
              <w:pStyle w:val="KHeading2"/>
              <w:numPr>
                <w:ilvl w:val="0"/>
                <w:numId w:val="0"/>
              </w:numPr>
              <w:jc w:val="left"/>
              <w:rPr>
                <w:rFonts w:eastAsia="Calibri"/>
              </w:rPr>
            </w:pPr>
            <w:r>
              <w:rPr>
                <w:rFonts w:eastAsia="Calibri"/>
              </w:rPr>
              <w:t>Vendor to provide 5% Service Credit</w:t>
            </w:r>
            <w:r w:rsidR="00CE0D71">
              <w:rPr>
                <w:rFonts w:eastAsia="Calibri"/>
              </w:rPr>
              <w:t xml:space="preserve"> of the repair cost</w:t>
            </w:r>
            <w:r>
              <w:rPr>
                <w:rFonts w:eastAsia="Calibri"/>
              </w:rPr>
              <w:t xml:space="preserve"> when delay in repair impacts printer functionality and delays productivity </w:t>
            </w:r>
          </w:p>
        </w:tc>
      </w:tr>
      <w:tr w:rsidR="00B718C3" w14:paraId="349EFF76" w14:textId="77777777" w:rsidTr="00BC3151">
        <w:tc>
          <w:tcPr>
            <w:tcW w:w="3510" w:type="dxa"/>
          </w:tcPr>
          <w:p w14:paraId="00661C6F" w14:textId="519C64AC" w:rsidR="00B718C3" w:rsidRDefault="00B718C3" w:rsidP="006510D9">
            <w:pPr>
              <w:pStyle w:val="KHeading2"/>
              <w:numPr>
                <w:ilvl w:val="0"/>
                <w:numId w:val="0"/>
              </w:numPr>
              <w:jc w:val="left"/>
              <w:rPr>
                <w:rFonts w:eastAsia="Calibri"/>
              </w:rPr>
            </w:pPr>
            <w:r>
              <w:rPr>
                <w:rFonts w:eastAsia="Calibri"/>
              </w:rPr>
              <w:t>Next day delivery of requested supplies</w:t>
            </w:r>
          </w:p>
        </w:tc>
        <w:tc>
          <w:tcPr>
            <w:tcW w:w="2340" w:type="dxa"/>
          </w:tcPr>
          <w:p w14:paraId="685D6E77" w14:textId="7B9CC0B3" w:rsidR="00B718C3" w:rsidRDefault="006510D9" w:rsidP="006510D9">
            <w:pPr>
              <w:pStyle w:val="KHeading2"/>
              <w:numPr>
                <w:ilvl w:val="0"/>
                <w:numId w:val="0"/>
              </w:numPr>
              <w:jc w:val="left"/>
              <w:rPr>
                <w:rFonts w:eastAsia="Calibri"/>
              </w:rPr>
            </w:pPr>
            <w:r>
              <w:rPr>
                <w:rFonts w:eastAsia="Calibri"/>
              </w:rPr>
              <w:t>Requested supplies to be delivered next day</w:t>
            </w:r>
          </w:p>
        </w:tc>
        <w:tc>
          <w:tcPr>
            <w:tcW w:w="2250" w:type="dxa"/>
          </w:tcPr>
          <w:p w14:paraId="6363C883" w14:textId="499C8DEC" w:rsidR="00B718C3" w:rsidRDefault="006510D9" w:rsidP="006510D9">
            <w:pPr>
              <w:pStyle w:val="KHeading2"/>
              <w:numPr>
                <w:ilvl w:val="0"/>
                <w:numId w:val="0"/>
              </w:numPr>
              <w:jc w:val="left"/>
              <w:rPr>
                <w:rFonts w:eastAsia="Calibri"/>
              </w:rPr>
            </w:pPr>
            <w:r>
              <w:rPr>
                <w:rFonts w:eastAsia="Calibri"/>
              </w:rPr>
              <w:t>Vendor to provide 5% Service Credit</w:t>
            </w:r>
            <w:r w:rsidR="00CE0D71">
              <w:rPr>
                <w:rFonts w:eastAsia="Calibri"/>
              </w:rPr>
              <w:t xml:space="preserve"> of the supply order</w:t>
            </w:r>
            <w:r>
              <w:rPr>
                <w:rFonts w:eastAsia="Calibri"/>
              </w:rPr>
              <w:t xml:space="preserve"> when delay in delivery impacts printer functionality and delays productivity </w:t>
            </w:r>
          </w:p>
        </w:tc>
      </w:tr>
      <w:tr w:rsidR="00C06B57" w14:paraId="0A3D0B88" w14:textId="77777777" w:rsidTr="00BC3151">
        <w:tc>
          <w:tcPr>
            <w:tcW w:w="3510" w:type="dxa"/>
          </w:tcPr>
          <w:p w14:paraId="0F62D300" w14:textId="0D303FD6" w:rsidR="00C06B57" w:rsidRDefault="00C06B57" w:rsidP="006510D9">
            <w:pPr>
              <w:pStyle w:val="KHeading2"/>
              <w:numPr>
                <w:ilvl w:val="0"/>
                <w:numId w:val="0"/>
              </w:numPr>
              <w:jc w:val="left"/>
              <w:rPr>
                <w:rFonts w:eastAsia="Calibri"/>
              </w:rPr>
            </w:pPr>
            <w:r>
              <w:rPr>
                <w:rFonts w:eastAsia="Calibri"/>
              </w:rPr>
              <w:t>P</w:t>
            </w:r>
            <w:r w:rsidR="001D450F">
              <w:rPr>
                <w:rFonts w:eastAsia="Calibri"/>
              </w:rPr>
              <w:t>eriodic on-site inspections with p</w:t>
            </w:r>
            <w:r>
              <w:rPr>
                <w:rFonts w:eastAsia="Calibri"/>
              </w:rPr>
              <w:t xml:space="preserve">reventative maintenance </w:t>
            </w:r>
          </w:p>
        </w:tc>
        <w:tc>
          <w:tcPr>
            <w:tcW w:w="2340" w:type="dxa"/>
          </w:tcPr>
          <w:p w14:paraId="5D456796" w14:textId="326345E2" w:rsidR="00C06B57" w:rsidRDefault="00C06B57" w:rsidP="006510D9">
            <w:pPr>
              <w:pStyle w:val="KHeading2"/>
              <w:numPr>
                <w:ilvl w:val="0"/>
                <w:numId w:val="0"/>
              </w:numPr>
              <w:jc w:val="left"/>
              <w:rPr>
                <w:rFonts w:eastAsia="Calibri"/>
              </w:rPr>
            </w:pPr>
            <w:r>
              <w:rPr>
                <w:rFonts w:eastAsia="Calibri"/>
              </w:rPr>
              <w:t>On-site inspections with preventative maintenance to occur quarterly</w:t>
            </w:r>
          </w:p>
        </w:tc>
        <w:tc>
          <w:tcPr>
            <w:tcW w:w="2250" w:type="dxa"/>
          </w:tcPr>
          <w:p w14:paraId="4AA3D55C" w14:textId="41FBEB0D" w:rsidR="00C06B57" w:rsidRDefault="00C06B57" w:rsidP="006510D9">
            <w:pPr>
              <w:pStyle w:val="KHeading2"/>
              <w:numPr>
                <w:ilvl w:val="0"/>
                <w:numId w:val="0"/>
              </w:numPr>
              <w:jc w:val="left"/>
              <w:rPr>
                <w:rFonts w:eastAsia="Calibri"/>
              </w:rPr>
            </w:pPr>
            <w:r>
              <w:rPr>
                <w:rFonts w:eastAsia="Calibri"/>
              </w:rPr>
              <w:t xml:space="preserve">Vendor to provide 5% Service Credit of the overage charges when delay in </w:t>
            </w:r>
            <w:r w:rsidR="007569A8">
              <w:rPr>
                <w:rFonts w:eastAsia="Calibri"/>
              </w:rPr>
              <w:t>maintenance</w:t>
            </w:r>
            <w:r>
              <w:rPr>
                <w:rFonts w:eastAsia="Calibri"/>
              </w:rPr>
              <w:t xml:space="preserve"> impacts printer functionality and delays productivity</w:t>
            </w:r>
          </w:p>
        </w:tc>
      </w:tr>
    </w:tbl>
    <w:p w14:paraId="208C619D" w14:textId="05D33A85" w:rsidR="00A03477" w:rsidRPr="00F36D98" w:rsidRDefault="00A03477" w:rsidP="00F36D98">
      <w:pPr>
        <w:pStyle w:val="KHeading3"/>
        <w:ind w:left="2160" w:hanging="720"/>
        <w:rPr>
          <w:rFonts w:eastAsia="Calibri"/>
        </w:rPr>
      </w:pPr>
      <w:r w:rsidRPr="00042B73">
        <w:rPr>
          <w:rFonts w:eastAsia="Calibri"/>
          <w:u w:val="single"/>
        </w:rPr>
        <w:t>Reports</w:t>
      </w:r>
      <w:r>
        <w:rPr>
          <w:rFonts w:eastAsia="Calibri"/>
        </w:rPr>
        <w:t xml:space="preserve">. </w:t>
      </w:r>
      <w:r w:rsidRPr="00C33EC9">
        <w:rPr>
          <w:rFonts w:eastAsia="Calibri"/>
        </w:rPr>
        <w:t>On a monthly basis, in arrears and no later than the fifteenth (15</w:t>
      </w:r>
      <w:r w:rsidRPr="00DC0FA3">
        <w:rPr>
          <w:rFonts w:eastAsia="Calibri"/>
          <w:vertAlign w:val="superscript"/>
        </w:rPr>
        <w:t>th</w:t>
      </w:r>
      <w:r w:rsidRPr="00C33EC9">
        <w:rPr>
          <w:rFonts w:eastAsia="Calibri"/>
        </w:rPr>
        <w:t>) calendar day of the month following the reporting month, Vendor shall provide reports to Citizens describing the performance of the Services as compared t</w:t>
      </w:r>
      <w:r>
        <w:rPr>
          <w:rFonts w:eastAsia="Calibri"/>
        </w:rPr>
        <w:t xml:space="preserve">o the Service Level Standards. </w:t>
      </w:r>
      <w:r w:rsidRPr="00C33EC9">
        <w:rPr>
          <w:rFonts w:eastAsia="Calibri"/>
        </w:rPr>
        <w:t xml:space="preserve">The reports shall be in a form agreed to by Citizens and contain no less than the following information: (a) actual performance compared to the Service Level Standard; (b) the cause or basis for not meeting the Service Level Standard; (c) the specific remedial actions Vendor has undertaken or will undertake to ensure that the Service Level Standard will be subsequently achieved; </w:t>
      </w:r>
      <w:r w:rsidRPr="00C33EC9">
        <w:rPr>
          <w:rFonts w:eastAsia="Calibri"/>
          <w:color w:val="000000"/>
        </w:rPr>
        <w:t>(d) any Service Credit due to Citizens; and</w:t>
      </w:r>
      <w:r>
        <w:rPr>
          <w:rFonts w:eastAsia="Calibri"/>
          <w:color w:val="000000"/>
        </w:rPr>
        <w:t>,</w:t>
      </w:r>
      <w:r w:rsidRPr="00C33EC9">
        <w:rPr>
          <w:rFonts w:eastAsia="Calibri"/>
          <w:color w:val="000000"/>
        </w:rPr>
        <w:t xml:space="preserve"> (e) </w:t>
      </w:r>
      <w:r>
        <w:rPr>
          <w:rFonts w:eastAsia="Calibri"/>
          <w:color w:val="000000"/>
        </w:rPr>
        <w:t xml:space="preserve">if requested, </w:t>
      </w:r>
      <w:r w:rsidRPr="00C33EC9">
        <w:rPr>
          <w:rFonts w:eastAsia="Calibri"/>
          <w:color w:val="000000"/>
        </w:rPr>
        <w:t>a rolling six-month Service Level</w:t>
      </w:r>
      <w:r>
        <w:rPr>
          <w:rFonts w:eastAsia="Calibri"/>
          <w:color w:val="000000"/>
        </w:rPr>
        <w:t xml:space="preserve"> Standard trend report for the </w:t>
      </w:r>
      <w:r w:rsidRPr="00C33EC9">
        <w:rPr>
          <w:rFonts w:eastAsia="Calibri"/>
          <w:color w:val="000000"/>
        </w:rPr>
        <w:t>Service Level Standard</w:t>
      </w:r>
      <w:r>
        <w:rPr>
          <w:rFonts w:eastAsia="Calibri"/>
        </w:rPr>
        <w:t xml:space="preserve">. </w:t>
      </w:r>
      <w:r w:rsidRPr="00C33EC9">
        <w:rPr>
          <w:rFonts w:eastAsia="Calibri"/>
        </w:rPr>
        <w:t>Vendor and Citizens will meet as often as reasonably requested by Citizens, but no less than monthly, to review Vendor’s performance as it relates to the Service Level</w:t>
      </w:r>
      <w:r>
        <w:rPr>
          <w:rFonts w:eastAsia="Calibri"/>
        </w:rPr>
        <w:t xml:space="preserve"> Standards. </w:t>
      </w:r>
      <w:r w:rsidRPr="00C33EC9">
        <w:rPr>
          <w:rFonts w:eastAsia="Calibri"/>
        </w:rPr>
        <w:t>If Vendor fails to provide a report for a Service Level</w:t>
      </w:r>
      <w:r>
        <w:rPr>
          <w:rFonts w:eastAsia="Calibri"/>
        </w:rPr>
        <w:t xml:space="preserve"> Standard</w:t>
      </w:r>
      <w:r w:rsidRPr="00C33EC9">
        <w:rPr>
          <w:rFonts w:eastAsia="Calibri"/>
        </w:rPr>
        <w:t xml:space="preserve"> in the applicable timeframe, the Service Level</w:t>
      </w:r>
      <w:r>
        <w:rPr>
          <w:rFonts w:eastAsia="Calibri"/>
        </w:rPr>
        <w:t xml:space="preserve"> Standard</w:t>
      </w:r>
      <w:r w:rsidRPr="00C33EC9">
        <w:rPr>
          <w:rFonts w:eastAsia="Calibri"/>
        </w:rPr>
        <w:t xml:space="preserve"> shall be </w:t>
      </w:r>
      <w:r w:rsidRPr="00C33EC9">
        <w:rPr>
          <w:rFonts w:eastAsia="Calibri"/>
        </w:rPr>
        <w:lastRenderedPageBreak/>
        <w:t>deemed to be completely failed for the purposes of calculating a Service</w:t>
      </w:r>
      <w:r>
        <w:rPr>
          <w:rFonts w:eastAsia="Calibri"/>
        </w:rPr>
        <w:t xml:space="preserve"> Credit. </w:t>
      </w:r>
      <w:r w:rsidRPr="00C33EC9">
        <w:rPr>
          <w:rFonts w:eastAsia="Calibri"/>
        </w:rPr>
        <w:t>Vendor shall, without charge, make Citizens’ historical Service Level</w:t>
      </w:r>
      <w:r>
        <w:rPr>
          <w:rFonts w:eastAsia="Calibri"/>
        </w:rPr>
        <w:t xml:space="preserve"> Standard</w:t>
      </w:r>
      <w:r w:rsidRPr="00C33EC9">
        <w:rPr>
          <w:rFonts w:eastAsia="Calibri"/>
        </w:rPr>
        <w:t xml:space="preserve"> reports </w:t>
      </w:r>
      <w:r>
        <w:rPr>
          <w:rFonts w:eastAsia="Calibri"/>
        </w:rPr>
        <w:t xml:space="preserve">available </w:t>
      </w:r>
      <w:r w:rsidRPr="00C33EC9">
        <w:rPr>
          <w:rFonts w:eastAsia="Calibri"/>
        </w:rPr>
        <w:t>to Citizens upon request.</w:t>
      </w:r>
    </w:p>
    <w:p w14:paraId="3C5D4CAC" w14:textId="58B4862D" w:rsidR="00CE0D71" w:rsidRPr="00CE0D71" w:rsidRDefault="00CE0D71" w:rsidP="00F74FFE">
      <w:pPr>
        <w:pStyle w:val="KHeading3"/>
        <w:ind w:left="2160" w:hanging="720"/>
        <w:rPr>
          <w:rFonts w:eastAsia="Calibri"/>
        </w:rPr>
      </w:pPr>
      <w:r w:rsidRPr="00CE0D71">
        <w:rPr>
          <w:rFonts w:eastAsia="Calibri"/>
          <w:u w:val="single"/>
        </w:rPr>
        <w:t>Failure to Meet Service Level Standards</w:t>
      </w:r>
      <w:r w:rsidRPr="00CE0D71">
        <w:rPr>
          <w:rFonts w:eastAsia="Calibri"/>
        </w:rPr>
        <w:t xml:space="preserve">. Time is of the essence in meeting the Service Level Standards. If Vendor does not meet a Service Level Standard, Vendor shall issue the applicable Service Credits as agreed upon herein. The Service Credits will be issued on Vendor’s next invoice to Citizens for the Services. The Service Credits are intended only to cover the diminished value of a Service that is delivered to Citizens. The acceptance of a Service Credit does not waive Citizens’ right to pursue other remedial actions or claims under this Agreement. To the extent the underlying acts or omissions constitute an event of default under another section of this Agreement, Citizens may declare an event of default under that section. Notwithstanding the issuance of a Service Credit, Vendor will use its best efforts to minimize the impact or duration of any outage, </w:t>
      </w:r>
      <w:r w:rsidR="00BC3151" w:rsidRPr="00CE0D71">
        <w:rPr>
          <w:rFonts w:eastAsia="Calibri"/>
        </w:rPr>
        <w:t>interruption,</w:t>
      </w:r>
      <w:r w:rsidRPr="00CE0D71">
        <w:rPr>
          <w:rFonts w:eastAsia="Calibri"/>
        </w:rPr>
        <w:t xml:space="preserve"> or degradation of Service. In no case shall Citizens be required to notify Vendor that a Service Credit is due as a condition of payment of the same.</w:t>
      </w:r>
    </w:p>
    <w:p w14:paraId="0B31F551" w14:textId="0453BCC8" w:rsidR="00BA0DE5" w:rsidRPr="00C779A2" w:rsidRDefault="00CE0D71" w:rsidP="00F74FFE">
      <w:pPr>
        <w:pStyle w:val="KHeading3"/>
        <w:ind w:left="2160" w:hanging="720"/>
      </w:pPr>
      <w:r w:rsidRPr="00C33EC9">
        <w:rPr>
          <w:rFonts w:eastAsia="Calibri"/>
          <w:u w:val="single"/>
        </w:rPr>
        <w:t>Termination for Repeated Failures</w:t>
      </w:r>
      <w:r>
        <w:rPr>
          <w:rFonts w:eastAsia="Calibri"/>
        </w:rPr>
        <w:t xml:space="preserve">. </w:t>
      </w:r>
      <w:r w:rsidRPr="00C33EC9">
        <w:rPr>
          <w:rFonts w:eastAsia="Calibri"/>
        </w:rPr>
        <w:t xml:space="preserve">Citizens shall have, in addition to any other rights and remedies under this </w:t>
      </w:r>
      <w:r>
        <w:rPr>
          <w:rFonts w:eastAsia="Calibri"/>
        </w:rPr>
        <w:t>Agreement</w:t>
      </w:r>
      <w:r w:rsidRPr="00C33EC9">
        <w:rPr>
          <w:rFonts w:eastAsia="Calibri"/>
        </w:rPr>
        <w:t xml:space="preserve"> or at law, the right to immediately terminate this </w:t>
      </w:r>
      <w:r>
        <w:rPr>
          <w:rFonts w:eastAsia="Calibri"/>
        </w:rPr>
        <w:t>Agreement</w:t>
      </w:r>
      <w:r w:rsidRPr="00C33EC9">
        <w:rPr>
          <w:rFonts w:eastAsia="Calibri"/>
        </w:rPr>
        <w:t xml:space="preserve"> and be entitled to a return of any prepaid fees where Vendor fails to meet any Service Level Standard for four (4) months out of any </w:t>
      </w:r>
      <w:r w:rsidRPr="00C33EC9">
        <w:rPr>
          <w:rFonts w:eastAsia="Calibri"/>
          <w:color w:val="000000"/>
        </w:rPr>
        <w:t xml:space="preserve">rolling </w:t>
      </w:r>
      <w:r w:rsidRPr="00C33EC9">
        <w:rPr>
          <w:rFonts w:eastAsia="Calibri"/>
        </w:rPr>
        <w:t>twelve (12) month period</w:t>
      </w:r>
      <w:r w:rsidR="00F74FFE">
        <w:rPr>
          <w:rFonts w:eastAsia="Calibri"/>
        </w:rPr>
        <w:t>.</w:t>
      </w:r>
    </w:p>
    <w:p w14:paraId="6FBFD77A" w14:textId="77777777" w:rsidR="001D450F" w:rsidRPr="00EB29E1" w:rsidRDefault="001D450F" w:rsidP="001D450F">
      <w:pPr>
        <w:pStyle w:val="KHeading1"/>
        <w:rPr>
          <w:b/>
          <w:bCs/>
          <w:color w:val="FF0000"/>
        </w:rPr>
      </w:pPr>
      <w:r w:rsidRPr="00EB29E1">
        <w:rPr>
          <w:b/>
          <w:bCs/>
          <w:u w:val="single"/>
        </w:rPr>
        <w:t xml:space="preserve">Deliverables and Work Product. </w:t>
      </w:r>
    </w:p>
    <w:p w14:paraId="432974FA" w14:textId="7CB9F24E" w:rsidR="001D450F" w:rsidRPr="001D450F" w:rsidRDefault="001D450F" w:rsidP="00EB29E1">
      <w:pPr>
        <w:pStyle w:val="KHeading2"/>
        <w:numPr>
          <w:ilvl w:val="1"/>
          <w:numId w:val="55"/>
        </w:numPr>
        <w:ind w:left="1440" w:hanging="720"/>
        <w:rPr>
          <w:color w:val="FF0000"/>
        </w:rPr>
      </w:pPr>
      <w:r w:rsidRPr="001D450F">
        <w:rPr>
          <w:u w:val="single"/>
        </w:rPr>
        <w:t>Deliverables and Financial Consequences for Non-Delivery</w:t>
      </w:r>
      <w:r w:rsidRPr="00DC0FA3">
        <w:t>.</w:t>
      </w:r>
      <w:r w:rsidRPr="00C33EC9">
        <w:t xml:space="preserve"> </w:t>
      </w:r>
      <w:r>
        <w:t>Each Deliverable must be delivered by Vendor to Citizens in the time and manner specified in this Agreement. Failure to do so will entitle Citizens to enforce financial consequences which can include</w:t>
      </w:r>
      <w:r w:rsidR="00990202">
        <w:t>, but are not limited to</w:t>
      </w:r>
      <w:r>
        <w:t xml:space="preserve">: (a) withholding any payment associated with the Deliverable until such delivery is made; and/or, (b) terminating this Agreement in whole or in part for cause subject to the notice and cure provisions set forth in </w:t>
      </w:r>
      <w:r w:rsidRPr="005949B3">
        <w:t xml:space="preserve">Section </w:t>
      </w:r>
      <w:r w:rsidR="005949B3" w:rsidRPr="005949B3">
        <w:t>13</w:t>
      </w:r>
      <w:r w:rsidRPr="005949B3">
        <w:t>.3</w:t>
      </w:r>
      <w:r w:rsidR="002D374A" w:rsidRPr="005949B3">
        <w:t>.</w:t>
      </w:r>
      <w:r w:rsidR="004B7654" w:rsidRPr="004B7654">
        <w:t xml:space="preserve"> </w:t>
      </w:r>
      <w:r>
        <w:t xml:space="preserve">below. </w:t>
      </w:r>
    </w:p>
    <w:tbl>
      <w:tblPr>
        <w:tblW w:w="828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161"/>
        <w:gridCol w:w="2462"/>
      </w:tblGrid>
      <w:tr w:rsidR="0041141D" w:rsidRPr="00BB1F93" w14:paraId="3C1E9310" w14:textId="77777777" w:rsidTr="00990202">
        <w:trPr>
          <w:trHeight w:val="601"/>
        </w:trPr>
        <w:tc>
          <w:tcPr>
            <w:tcW w:w="2658" w:type="dxa"/>
            <w:shd w:val="clear" w:color="auto" w:fill="BDD6EE" w:themeFill="accent1" w:themeFillTint="66"/>
            <w:vAlign w:val="center"/>
          </w:tcPr>
          <w:p w14:paraId="40FDF9ED" w14:textId="77777777" w:rsidR="0041141D" w:rsidRPr="00EB29E1" w:rsidRDefault="0041141D" w:rsidP="009A6371">
            <w:pPr>
              <w:widowControl/>
              <w:adjustRightInd/>
              <w:spacing w:line="240" w:lineRule="auto"/>
              <w:jc w:val="center"/>
              <w:textAlignment w:val="auto"/>
              <w:rPr>
                <w:rFonts w:ascii="Arial" w:hAnsi="Arial" w:cs="Arial"/>
                <w:b/>
                <w:sz w:val="22"/>
                <w:szCs w:val="22"/>
              </w:rPr>
            </w:pPr>
            <w:r w:rsidRPr="00EB29E1">
              <w:rPr>
                <w:rFonts w:ascii="Arial" w:hAnsi="Arial" w:cs="Arial"/>
                <w:b/>
                <w:sz w:val="22"/>
                <w:szCs w:val="22"/>
              </w:rPr>
              <w:t>Deliverable</w:t>
            </w:r>
          </w:p>
        </w:tc>
        <w:tc>
          <w:tcPr>
            <w:tcW w:w="3161" w:type="dxa"/>
            <w:shd w:val="clear" w:color="auto" w:fill="BDD6EE" w:themeFill="accent1" w:themeFillTint="66"/>
            <w:vAlign w:val="center"/>
          </w:tcPr>
          <w:p w14:paraId="6A69D03D" w14:textId="77777777" w:rsidR="0041141D" w:rsidRPr="00EB29E1" w:rsidRDefault="0041141D" w:rsidP="009A6371">
            <w:pPr>
              <w:widowControl/>
              <w:adjustRightInd/>
              <w:spacing w:line="240" w:lineRule="auto"/>
              <w:jc w:val="center"/>
              <w:textAlignment w:val="auto"/>
              <w:rPr>
                <w:rFonts w:ascii="Arial" w:hAnsi="Arial" w:cs="Arial"/>
                <w:b/>
                <w:sz w:val="22"/>
                <w:szCs w:val="22"/>
              </w:rPr>
            </w:pPr>
            <w:r w:rsidRPr="00EB29E1">
              <w:rPr>
                <w:rFonts w:ascii="Arial" w:hAnsi="Arial" w:cs="Arial"/>
                <w:b/>
                <w:sz w:val="22"/>
                <w:szCs w:val="22"/>
              </w:rPr>
              <w:t>Description</w:t>
            </w:r>
          </w:p>
        </w:tc>
        <w:tc>
          <w:tcPr>
            <w:tcW w:w="2462" w:type="dxa"/>
            <w:shd w:val="clear" w:color="auto" w:fill="BDD6EE" w:themeFill="accent1" w:themeFillTint="66"/>
            <w:vAlign w:val="center"/>
          </w:tcPr>
          <w:p w14:paraId="78669783" w14:textId="77777777" w:rsidR="0041141D" w:rsidRPr="00EB29E1" w:rsidRDefault="0041141D" w:rsidP="009A6371">
            <w:pPr>
              <w:widowControl/>
              <w:adjustRightInd/>
              <w:spacing w:line="240" w:lineRule="auto"/>
              <w:jc w:val="center"/>
              <w:textAlignment w:val="auto"/>
              <w:rPr>
                <w:rFonts w:ascii="Arial" w:hAnsi="Arial" w:cs="Arial"/>
                <w:b/>
                <w:sz w:val="22"/>
                <w:szCs w:val="22"/>
              </w:rPr>
            </w:pPr>
            <w:r w:rsidRPr="00EB29E1">
              <w:rPr>
                <w:rFonts w:ascii="Arial" w:hAnsi="Arial" w:cs="Arial"/>
                <w:b/>
                <w:sz w:val="22"/>
                <w:szCs w:val="22"/>
              </w:rPr>
              <w:t>Due Date</w:t>
            </w:r>
          </w:p>
        </w:tc>
      </w:tr>
      <w:tr w:rsidR="0041141D" w:rsidRPr="00BB1F93" w14:paraId="539F4970" w14:textId="77777777" w:rsidTr="00990202">
        <w:trPr>
          <w:trHeight w:val="457"/>
        </w:trPr>
        <w:tc>
          <w:tcPr>
            <w:tcW w:w="2658" w:type="dxa"/>
            <w:shd w:val="clear" w:color="auto" w:fill="auto"/>
            <w:vAlign w:val="center"/>
          </w:tcPr>
          <w:p w14:paraId="7BFCAB38" w14:textId="76D51557" w:rsidR="0041141D" w:rsidRPr="00EB29E1" w:rsidRDefault="0041141D" w:rsidP="009A6371">
            <w:pPr>
              <w:widowControl/>
              <w:adjustRightInd/>
              <w:spacing w:line="240" w:lineRule="auto"/>
              <w:jc w:val="left"/>
              <w:textAlignment w:val="auto"/>
              <w:rPr>
                <w:rFonts w:ascii="Arial" w:hAnsi="Arial" w:cs="Arial"/>
                <w:sz w:val="22"/>
                <w:szCs w:val="22"/>
              </w:rPr>
            </w:pPr>
            <w:r w:rsidRPr="00EB29E1">
              <w:rPr>
                <w:rFonts w:ascii="Arial" w:hAnsi="Arial" w:cs="Arial"/>
                <w:sz w:val="22"/>
                <w:szCs w:val="22"/>
              </w:rPr>
              <w:t>Break/fix repair support</w:t>
            </w:r>
            <w:r w:rsidR="004B7654">
              <w:rPr>
                <w:rFonts w:ascii="Arial" w:hAnsi="Arial" w:cs="Arial"/>
                <w:sz w:val="22"/>
                <w:szCs w:val="22"/>
              </w:rPr>
              <w:t xml:space="preserve"> service</w:t>
            </w:r>
            <w:r w:rsidRPr="00EB29E1">
              <w:rPr>
                <w:rFonts w:ascii="Arial" w:hAnsi="Arial" w:cs="Arial"/>
                <w:sz w:val="22"/>
                <w:szCs w:val="22"/>
              </w:rPr>
              <w:t xml:space="preserve"> report</w:t>
            </w:r>
          </w:p>
        </w:tc>
        <w:tc>
          <w:tcPr>
            <w:tcW w:w="3161" w:type="dxa"/>
            <w:shd w:val="clear" w:color="auto" w:fill="auto"/>
            <w:vAlign w:val="center"/>
          </w:tcPr>
          <w:p w14:paraId="27417E74" w14:textId="6685E627" w:rsidR="0041141D" w:rsidRPr="00EB29E1" w:rsidRDefault="0041141D" w:rsidP="009A6371">
            <w:pPr>
              <w:widowControl/>
              <w:adjustRightInd/>
              <w:spacing w:line="240" w:lineRule="auto"/>
              <w:jc w:val="left"/>
              <w:textAlignment w:val="auto"/>
              <w:rPr>
                <w:rFonts w:ascii="Arial" w:hAnsi="Arial" w:cs="Arial"/>
                <w:sz w:val="22"/>
                <w:szCs w:val="22"/>
              </w:rPr>
            </w:pPr>
            <w:r w:rsidRPr="00EB29E1">
              <w:rPr>
                <w:rFonts w:ascii="Arial" w:hAnsi="Arial" w:cs="Arial"/>
                <w:sz w:val="22"/>
                <w:szCs w:val="22"/>
              </w:rPr>
              <w:t>Report shall include at a minimum:</w:t>
            </w:r>
            <w:r w:rsidR="004B7654">
              <w:rPr>
                <w:rFonts w:ascii="Arial" w:hAnsi="Arial" w:cs="Arial"/>
                <w:sz w:val="22"/>
                <w:szCs w:val="22"/>
              </w:rPr>
              <w:t xml:space="preserve"> identification of the</w:t>
            </w:r>
            <w:r w:rsidRPr="00EB29E1">
              <w:rPr>
                <w:rFonts w:ascii="Arial" w:hAnsi="Arial" w:cs="Arial"/>
                <w:sz w:val="22"/>
                <w:szCs w:val="22"/>
              </w:rPr>
              <w:t xml:space="preserve"> technician assigned, date the request was called in, date/time </w:t>
            </w:r>
            <w:r w:rsidR="004B7654">
              <w:rPr>
                <w:rFonts w:ascii="Arial" w:hAnsi="Arial" w:cs="Arial"/>
                <w:sz w:val="22"/>
                <w:szCs w:val="22"/>
              </w:rPr>
              <w:t xml:space="preserve">the </w:t>
            </w:r>
            <w:r w:rsidRPr="00EB29E1">
              <w:rPr>
                <w:rFonts w:ascii="Arial" w:hAnsi="Arial" w:cs="Arial"/>
                <w:sz w:val="22"/>
                <w:szCs w:val="22"/>
              </w:rPr>
              <w:t xml:space="preserve">technician came to address request, description of the issue, description of the resolution, </w:t>
            </w:r>
            <w:proofErr w:type="gramStart"/>
            <w:r w:rsidRPr="00EB29E1">
              <w:rPr>
                <w:rFonts w:ascii="Arial" w:hAnsi="Arial" w:cs="Arial"/>
                <w:sz w:val="22"/>
                <w:szCs w:val="22"/>
              </w:rPr>
              <w:t>technician</w:t>
            </w:r>
            <w:proofErr w:type="gramEnd"/>
            <w:r w:rsidRPr="00EB29E1">
              <w:rPr>
                <w:rFonts w:ascii="Arial" w:hAnsi="Arial" w:cs="Arial"/>
                <w:sz w:val="22"/>
                <w:szCs w:val="22"/>
              </w:rPr>
              <w:t xml:space="preserve"> and Citizens’ staff signature</w:t>
            </w:r>
            <w:r w:rsidR="004B7654">
              <w:rPr>
                <w:rFonts w:ascii="Arial" w:hAnsi="Arial" w:cs="Arial"/>
                <w:sz w:val="22"/>
                <w:szCs w:val="22"/>
              </w:rPr>
              <w:t>s</w:t>
            </w:r>
            <w:r w:rsidRPr="00EB29E1">
              <w:rPr>
                <w:rFonts w:ascii="Arial" w:hAnsi="Arial" w:cs="Arial"/>
                <w:sz w:val="22"/>
                <w:szCs w:val="22"/>
              </w:rPr>
              <w:t xml:space="preserve">. </w:t>
            </w:r>
          </w:p>
        </w:tc>
        <w:tc>
          <w:tcPr>
            <w:tcW w:w="2462" w:type="dxa"/>
            <w:vAlign w:val="center"/>
          </w:tcPr>
          <w:p w14:paraId="169CEC67" w14:textId="25817C9D" w:rsidR="0041141D" w:rsidRPr="00EB29E1" w:rsidRDefault="0041141D" w:rsidP="009A6371">
            <w:pPr>
              <w:widowControl/>
              <w:adjustRightInd/>
              <w:spacing w:line="240" w:lineRule="auto"/>
              <w:jc w:val="left"/>
              <w:textAlignment w:val="auto"/>
              <w:rPr>
                <w:rFonts w:ascii="Arial" w:hAnsi="Arial" w:cs="Arial"/>
                <w:sz w:val="22"/>
                <w:szCs w:val="22"/>
              </w:rPr>
            </w:pPr>
            <w:r w:rsidRPr="00EB29E1">
              <w:rPr>
                <w:rFonts w:ascii="Arial" w:hAnsi="Arial" w:cs="Arial"/>
                <w:sz w:val="22"/>
                <w:szCs w:val="22"/>
              </w:rPr>
              <w:t>Submit report within twenty-four (24) hours of site visit.</w:t>
            </w:r>
          </w:p>
        </w:tc>
      </w:tr>
      <w:tr w:rsidR="0041141D" w:rsidRPr="00BB1F93" w14:paraId="674B4224" w14:textId="77777777" w:rsidTr="00990202">
        <w:trPr>
          <w:trHeight w:val="672"/>
        </w:trPr>
        <w:tc>
          <w:tcPr>
            <w:tcW w:w="2658" w:type="dxa"/>
            <w:shd w:val="clear" w:color="auto" w:fill="auto"/>
            <w:vAlign w:val="center"/>
          </w:tcPr>
          <w:p w14:paraId="20D1231C" w14:textId="32177507" w:rsidR="0041141D" w:rsidRPr="00EB29E1" w:rsidDel="005F7E32" w:rsidRDefault="0041141D" w:rsidP="00EB29E1">
            <w:pPr>
              <w:widowControl/>
              <w:adjustRightInd/>
              <w:spacing w:line="240" w:lineRule="auto"/>
              <w:jc w:val="left"/>
              <w:textAlignment w:val="auto"/>
              <w:rPr>
                <w:rFonts w:ascii="Arial" w:hAnsi="Arial" w:cs="Arial"/>
                <w:sz w:val="22"/>
                <w:szCs w:val="22"/>
              </w:rPr>
            </w:pPr>
            <w:r w:rsidRPr="00EB29E1">
              <w:rPr>
                <w:rFonts w:ascii="Arial" w:hAnsi="Arial" w:cs="Arial"/>
                <w:sz w:val="22"/>
                <w:szCs w:val="22"/>
              </w:rPr>
              <w:t>On-site inspection and preventative maintenance report</w:t>
            </w:r>
          </w:p>
        </w:tc>
        <w:tc>
          <w:tcPr>
            <w:tcW w:w="3161" w:type="dxa"/>
            <w:shd w:val="clear" w:color="auto" w:fill="auto"/>
            <w:vAlign w:val="center"/>
          </w:tcPr>
          <w:p w14:paraId="123C9F59" w14:textId="1FEB7FC9" w:rsidR="0041141D" w:rsidRPr="00EB29E1" w:rsidRDefault="0041141D" w:rsidP="00EB29E1">
            <w:pPr>
              <w:widowControl/>
              <w:adjustRightInd/>
              <w:spacing w:line="240" w:lineRule="auto"/>
              <w:jc w:val="left"/>
              <w:textAlignment w:val="auto"/>
              <w:rPr>
                <w:rFonts w:ascii="Arial" w:hAnsi="Arial" w:cs="Arial"/>
                <w:sz w:val="22"/>
                <w:szCs w:val="22"/>
              </w:rPr>
            </w:pPr>
            <w:r w:rsidRPr="00EB29E1">
              <w:rPr>
                <w:rFonts w:ascii="Arial" w:hAnsi="Arial" w:cs="Arial"/>
                <w:sz w:val="22"/>
                <w:szCs w:val="22"/>
              </w:rPr>
              <w:t xml:space="preserve">Report shall include at a minimum: </w:t>
            </w:r>
            <w:r w:rsidR="00085279">
              <w:rPr>
                <w:rFonts w:ascii="Arial" w:hAnsi="Arial" w:cs="Arial"/>
                <w:sz w:val="22"/>
                <w:szCs w:val="22"/>
              </w:rPr>
              <w:t xml:space="preserve">identification of the </w:t>
            </w:r>
            <w:r w:rsidRPr="00EB29E1">
              <w:rPr>
                <w:rFonts w:ascii="Arial" w:hAnsi="Arial" w:cs="Arial"/>
                <w:sz w:val="22"/>
                <w:szCs w:val="22"/>
              </w:rPr>
              <w:t xml:space="preserve">technician assigned, date the request was called in, date/time </w:t>
            </w:r>
            <w:r w:rsidR="00085279">
              <w:rPr>
                <w:rFonts w:ascii="Arial" w:hAnsi="Arial" w:cs="Arial"/>
                <w:sz w:val="22"/>
                <w:szCs w:val="22"/>
              </w:rPr>
              <w:t xml:space="preserve">the </w:t>
            </w:r>
            <w:r w:rsidRPr="00EB29E1">
              <w:rPr>
                <w:rFonts w:ascii="Arial" w:hAnsi="Arial" w:cs="Arial"/>
                <w:sz w:val="22"/>
                <w:szCs w:val="22"/>
              </w:rPr>
              <w:t xml:space="preserve">technician came </w:t>
            </w:r>
            <w:r w:rsidRPr="00EB29E1">
              <w:rPr>
                <w:rFonts w:ascii="Arial" w:hAnsi="Arial" w:cs="Arial"/>
                <w:sz w:val="22"/>
                <w:szCs w:val="22"/>
              </w:rPr>
              <w:lastRenderedPageBreak/>
              <w:t xml:space="preserve">to address request, summary of services performed, technician and Citizens’ staff signature. </w:t>
            </w:r>
          </w:p>
        </w:tc>
        <w:tc>
          <w:tcPr>
            <w:tcW w:w="2462" w:type="dxa"/>
            <w:vAlign w:val="center"/>
          </w:tcPr>
          <w:p w14:paraId="3AB9D952" w14:textId="38FF5D1B" w:rsidR="0041141D" w:rsidRPr="00EB29E1" w:rsidRDefault="0041141D" w:rsidP="00EB29E1">
            <w:pPr>
              <w:widowControl/>
              <w:adjustRightInd/>
              <w:spacing w:line="240" w:lineRule="auto"/>
              <w:jc w:val="left"/>
              <w:textAlignment w:val="auto"/>
              <w:rPr>
                <w:rFonts w:ascii="Arial" w:hAnsi="Arial" w:cs="Arial"/>
                <w:sz w:val="22"/>
                <w:szCs w:val="22"/>
              </w:rPr>
            </w:pPr>
            <w:r w:rsidRPr="00EB29E1">
              <w:rPr>
                <w:rFonts w:ascii="Arial" w:hAnsi="Arial" w:cs="Arial"/>
                <w:sz w:val="22"/>
                <w:szCs w:val="22"/>
              </w:rPr>
              <w:lastRenderedPageBreak/>
              <w:t xml:space="preserve">Submit report withing two (2) business days of the inspection / preventative maintenance. </w:t>
            </w:r>
          </w:p>
        </w:tc>
      </w:tr>
    </w:tbl>
    <w:p w14:paraId="6D763F7B" w14:textId="4D5B419F" w:rsidR="001D450F" w:rsidRPr="00C33EC9" w:rsidRDefault="001D450F" w:rsidP="001D450F">
      <w:pPr>
        <w:pStyle w:val="KHeading2"/>
        <w:ind w:left="1440" w:hanging="720"/>
        <w:rPr>
          <w:u w:val="single"/>
        </w:rPr>
      </w:pPr>
      <w:r w:rsidRPr="00C33EC9">
        <w:rPr>
          <w:u w:val="single"/>
        </w:rPr>
        <w:t>Title to Work Product</w:t>
      </w:r>
      <w:r w:rsidRPr="00C33EC9">
        <w:t xml:space="preserve">. With the exception of the Pre-Existing Materials described in </w:t>
      </w:r>
      <w:r w:rsidRPr="004B7654">
        <w:t xml:space="preserve">Section </w:t>
      </w:r>
      <w:r w:rsidR="005949B3">
        <w:t>7</w:t>
      </w:r>
      <w:r w:rsidRPr="004B7654">
        <w:t>.3.</w:t>
      </w:r>
      <w:r w:rsidRPr="00C33EC9">
        <w:t>, Citizens will have all right, title and interest in and to each Work Product and any derivative works relating thereto (including ownership of copyrights). The use of these Work Products in any manner by Citizens shall not support any claim by Vendor for additional compensation.  Each Work Product, and any portion thereof, shall be a "work made for hire" for Citizens pursuant to federal copyright laws. To the extent any of the Work Product is not deemed a work made for hire by operation of law, Vendor hereby irrevocably assigns, transfers, and conveys to Citizens, or its designee, without further consideration all of its right, title</w:t>
      </w:r>
      <w:r>
        <w:t>,</w:t>
      </w:r>
      <w:r w:rsidRPr="00C33EC9">
        <w:t xml:space="preserve"> and interest in such Work Product, including all rights of patent, copyright, trade secret, trademark</w:t>
      </w:r>
      <w:r>
        <w:t>,</w:t>
      </w:r>
      <w:r w:rsidRPr="00C33EC9">
        <w:t xml:space="preserve"> or other proprietary rights in such materials. Vendor acknowledges that Citizens shall have the right to obtain and hold in its own name any intellectual property right in and to the Work Product</w:t>
      </w:r>
      <w:r>
        <w:t xml:space="preserve">. </w:t>
      </w:r>
      <w:r w:rsidRPr="00C33EC9">
        <w:t xml:space="preserve">Vendor agrees to execute any documents or take any other actions as may reasonably be necessary, or as Citizens may reasonably request, to perfect or evidence Citizens' ownership of the Work Product. This </w:t>
      </w:r>
      <w:r>
        <w:t>Section</w:t>
      </w:r>
      <w:r w:rsidRPr="00C33EC9">
        <w:t xml:space="preserve"> shall survive the termination of this </w:t>
      </w:r>
      <w:r>
        <w:t>Agreement</w:t>
      </w:r>
      <w:r w:rsidRPr="00C33EC9">
        <w:t>.</w:t>
      </w:r>
    </w:p>
    <w:p w14:paraId="6C6E45D2" w14:textId="77777777" w:rsidR="001D450F" w:rsidRPr="00C33EC9" w:rsidRDefault="001D450F" w:rsidP="001D450F">
      <w:pPr>
        <w:pStyle w:val="KHeading2"/>
        <w:ind w:left="1440" w:hanging="720"/>
      </w:pPr>
      <w:r w:rsidRPr="00C33EC9">
        <w:rPr>
          <w:u w:val="single"/>
        </w:rPr>
        <w:t>Pre-Existing Materials</w:t>
      </w:r>
      <w:r>
        <w:t>.</w:t>
      </w:r>
    </w:p>
    <w:p w14:paraId="5D79781B" w14:textId="77777777" w:rsidR="001D450F" w:rsidRPr="003C225E" w:rsidRDefault="001D450F" w:rsidP="001D450F">
      <w:pPr>
        <w:pStyle w:val="KHeading3"/>
        <w:ind w:left="2160" w:hanging="684"/>
      </w:pPr>
      <w:r w:rsidRPr="00C33EC9">
        <w:t xml:space="preserve">Citizens acknowledges that, in the course of performing the Services, Vendor may use materials, software, reports, routines, language, instructions, methods, techniques, trade </w:t>
      </w:r>
      <w:r w:rsidRPr="003C225E">
        <w:t>secrets, patents, copyrights, or other intellectual property that have been previously developed, purchased, licensed, or acquired by Vendor or by third parties (collectively, the "Pre-Existing Materials"), and that such Pre-Existing Materials shall remain the sole and exclusive property of Vendor or the third parties.  Where Vendor seeks to embed Pre-Existing Materials in the Work Product, Vendor must first obtain written approval from Citizens.</w:t>
      </w:r>
    </w:p>
    <w:p w14:paraId="18019687" w14:textId="77777777" w:rsidR="001D450F" w:rsidRPr="003C225E" w:rsidRDefault="001D450F" w:rsidP="001D450F">
      <w:pPr>
        <w:pStyle w:val="KHeading3"/>
        <w:ind w:left="2160" w:hanging="684"/>
      </w:pPr>
      <w:r w:rsidRPr="003C225E">
        <w:t xml:space="preserve">If and to the extent any Pre-Existing Materials of Vendor are embedded or incorporated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 for Citizens’ internal business purposes only; and, (b) authorize others to do any or all of the foregoing for Citizens’ internal business purposes only.  </w:t>
      </w:r>
    </w:p>
    <w:p w14:paraId="0FF8700B" w14:textId="77777777" w:rsidR="001D450F" w:rsidRPr="00C33EC9" w:rsidRDefault="001D450F" w:rsidP="001D450F">
      <w:pPr>
        <w:pStyle w:val="KHeading3"/>
        <w:ind w:left="2160" w:hanging="684"/>
      </w:pPr>
      <w:r w:rsidRPr="003C225E">
        <w:t>If and to the extent any Pre-Existing Materials of third parties are embedded or incorporated in the Work Product, Vendor shall secure for Citizens an irrevocable, perpetual, non-exclusive, worldwide, royalty-</w:t>
      </w:r>
      <w:proofErr w:type="gramStart"/>
      <w:r w:rsidRPr="003C225E">
        <w:t>free</w:t>
      </w:r>
      <w:proofErr w:type="gramEnd"/>
      <w:r w:rsidRPr="003C225E">
        <w:t xml:space="preserve"> and fully paid-up right to use, execute, display, and perform</w:t>
      </w:r>
      <w:r w:rsidRPr="00C33EC9">
        <w:t xml:space="preserve"> such Pre-Existing Materials</w:t>
      </w:r>
      <w:r>
        <w:t xml:space="preserve">. </w:t>
      </w:r>
      <w:r w:rsidRPr="00C33EC9">
        <w:t xml:space="preserve">Vendor shall secure such right at its expense and prior to incorporating any such </w:t>
      </w:r>
      <w:r>
        <w:t>Pre-Existing M</w:t>
      </w:r>
      <w:r w:rsidRPr="00C33EC9">
        <w:t>aterial</w:t>
      </w:r>
      <w:r>
        <w:t>s</w:t>
      </w:r>
      <w:r w:rsidRPr="00C33EC9">
        <w:t xml:space="preserve"> into any Work Product, and such right must include, if practicable, a right to: (a) copy, modify</w:t>
      </w:r>
      <w:r>
        <w:t>,</w:t>
      </w:r>
      <w:r w:rsidRPr="00C33EC9">
        <w:t xml:space="preserve"> and create derivative works</w:t>
      </w:r>
      <w:r>
        <w:t xml:space="preserve"> based upon such Pre-Existing Materials</w:t>
      </w:r>
      <w:r w:rsidRPr="00C33EC9">
        <w:t>; and, (b) sublicense all or any portion of the foregoing rights to an affiliate or a third party service provider</w:t>
      </w:r>
      <w:r>
        <w:t xml:space="preserve"> of Citizens. </w:t>
      </w:r>
      <w:r w:rsidRPr="00C33EC9">
        <w:t xml:space="preserve">This </w:t>
      </w:r>
      <w:r>
        <w:t>Section</w:t>
      </w:r>
      <w:r w:rsidRPr="00C33EC9">
        <w:t xml:space="preserve"> does not apply to standard </w:t>
      </w:r>
      <w:r w:rsidRPr="00C33EC9">
        <w:lastRenderedPageBreak/>
        <w:t>office software (e.g., Microsoft Office).</w:t>
      </w:r>
    </w:p>
    <w:p w14:paraId="2FECD5DD" w14:textId="1B983F25" w:rsidR="001D450F" w:rsidRPr="001D450F" w:rsidRDefault="001D450F" w:rsidP="00EB29E1">
      <w:pPr>
        <w:pStyle w:val="KHeading2"/>
        <w:tabs>
          <w:tab w:val="clear" w:pos="1440"/>
          <w:tab w:val="left" w:pos="810"/>
        </w:tabs>
        <w:ind w:left="1440" w:hanging="720"/>
        <w:rPr>
          <w:color w:val="FF0000"/>
        </w:rPr>
      </w:pPr>
      <w:r w:rsidRPr="00C33EC9">
        <w:t xml:space="preserve">The provisions of this Section shall survive the termination of this </w:t>
      </w:r>
      <w:r>
        <w:t>Agreement</w:t>
      </w:r>
      <w:r w:rsidRPr="00C33EC9">
        <w:t>.</w:t>
      </w:r>
      <w:r>
        <w:t xml:space="preserve">  </w:t>
      </w:r>
    </w:p>
    <w:p w14:paraId="6C526514" w14:textId="77777777" w:rsidR="00324A4A" w:rsidRPr="00F36D98" w:rsidRDefault="00324A4A" w:rsidP="00F36D98">
      <w:pPr>
        <w:pStyle w:val="KHeading1"/>
        <w:tabs>
          <w:tab w:val="clear" w:pos="720"/>
          <w:tab w:val="num" w:pos="1440"/>
        </w:tabs>
        <w:rPr>
          <w:rFonts w:cs="Arial"/>
          <w:b/>
          <w:szCs w:val="22"/>
          <w:u w:val="single"/>
        </w:rPr>
      </w:pPr>
      <w:r w:rsidRPr="00F36D98">
        <w:rPr>
          <w:rFonts w:cs="Arial"/>
          <w:b/>
          <w:szCs w:val="22"/>
          <w:u w:val="single"/>
        </w:rPr>
        <w:t>Changes</w:t>
      </w:r>
      <w:r w:rsidRPr="00F36D98">
        <w:rPr>
          <w:rFonts w:cs="Arial"/>
          <w:b/>
          <w:szCs w:val="22"/>
          <w:u w:val="single"/>
        </w:rPr>
        <w:fldChar w:fldCharType="begin"/>
      </w:r>
      <w:r w:rsidRPr="00F36D98">
        <w:rPr>
          <w:rFonts w:cs="Arial"/>
          <w:b/>
          <w:szCs w:val="22"/>
          <w:u w:val="single"/>
        </w:rPr>
        <w:instrText xml:space="preserve"> TC "</w:instrText>
      </w:r>
      <w:bookmarkStart w:id="2" w:name="_Toc520903735"/>
      <w:r w:rsidRPr="00F36D98">
        <w:rPr>
          <w:rFonts w:cs="Arial"/>
          <w:b/>
          <w:szCs w:val="22"/>
          <w:u w:val="single"/>
        </w:rPr>
        <w:instrText>Changes</w:instrText>
      </w:r>
      <w:bookmarkEnd w:id="2"/>
      <w:r w:rsidRPr="00F36D98">
        <w:rPr>
          <w:rFonts w:cs="Arial"/>
          <w:b/>
          <w:szCs w:val="22"/>
          <w:u w:val="single"/>
        </w:rPr>
        <w:instrText xml:space="preserve">" \f C \l "1" </w:instrText>
      </w:r>
      <w:r w:rsidRPr="00F36D98">
        <w:rPr>
          <w:rFonts w:cs="Arial"/>
          <w:b/>
          <w:szCs w:val="22"/>
          <w:u w:val="single"/>
        </w:rPr>
        <w:fldChar w:fldCharType="end"/>
      </w:r>
      <w:r w:rsidRPr="00F36D98">
        <w:rPr>
          <w:rFonts w:cs="Arial"/>
          <w:b/>
          <w:szCs w:val="22"/>
          <w:u w:val="single"/>
        </w:rPr>
        <w:t>.</w:t>
      </w:r>
    </w:p>
    <w:p w14:paraId="2FFC9562" w14:textId="77777777" w:rsidR="00324A4A" w:rsidRPr="003C225E" w:rsidRDefault="00324A4A" w:rsidP="00324A4A">
      <w:pPr>
        <w:pStyle w:val="KHeading2"/>
        <w:numPr>
          <w:ilvl w:val="1"/>
          <w:numId w:val="48"/>
        </w:numPr>
        <w:ind w:left="1440" w:hanging="720"/>
      </w:pPr>
      <w:r>
        <w:rPr>
          <w:u w:val="single"/>
        </w:rPr>
        <w:t>Change Process</w:t>
      </w:r>
      <w:r w:rsidRPr="00F536F8">
        <w:t xml:space="preserve">. </w:t>
      </w:r>
      <w:r w:rsidRPr="003C225E">
        <w:t xml:space="preserve">Citizens may require changes altering, adding to, or deducting from the Services (each, a “Change”), provided that: (a) such Change is within the general scope of this Agreement; and, (b) Citizens will make an equitable adjustment in Vendor’s compensation or delivery date if a Change materially affects the cost or time of performance of the Services. Such equitable adjustments require the written consent of Vendor, which consent shall not be unreasonably withheld, </w:t>
      </w:r>
      <w:proofErr w:type="gramStart"/>
      <w:r w:rsidRPr="003C225E">
        <w:t>delayed</w:t>
      </w:r>
      <w:proofErr w:type="gramEnd"/>
      <w:r w:rsidRPr="003C225E">
        <w:t xml:space="preserve"> or conditioned. The Parties will cooperate in good faith to determine the scope and nature of a Change, the availability of Vendor Staff, the </w:t>
      </w:r>
      <w:proofErr w:type="gramStart"/>
      <w:r w:rsidRPr="003C225E">
        <w:t>expertise</w:t>
      </w:r>
      <w:proofErr w:type="gramEnd"/>
      <w:r w:rsidRPr="003C225E">
        <w:t xml:space="preserve"> and resources to provide such Change, and the time period in which such Change will be implemented.</w:t>
      </w:r>
    </w:p>
    <w:p w14:paraId="39BC4815" w14:textId="5E81F89E" w:rsidR="00324A4A" w:rsidRPr="00F36D98" w:rsidRDefault="00324A4A" w:rsidP="00F36D98">
      <w:pPr>
        <w:pStyle w:val="KHeading2"/>
        <w:ind w:left="1440" w:hanging="720"/>
      </w:pPr>
      <w:r>
        <w:rPr>
          <w:u w:val="single"/>
        </w:rPr>
        <w:t>Modifications</w:t>
      </w:r>
      <w:r>
        <w:t xml:space="preserve">. </w:t>
      </w:r>
      <w:r w:rsidRPr="003C225E">
        <w:t>A Change resulting in an increase or decrease to Vendor’s compensation or the scope of Services must be evidenced by a formal amendment to this Agreement</w:t>
      </w:r>
      <w:r w:rsidR="00F36D98">
        <w:t xml:space="preserve">. </w:t>
      </w:r>
      <w:r w:rsidRPr="003C225E">
        <w:t>All other changes shall be evidenced by either a writing signed</w:t>
      </w:r>
      <w:r w:rsidRPr="00C33EC9">
        <w:t xml:space="preserve"> by the Contract Manager or designee of each Party or a formal amendment to this </w:t>
      </w:r>
      <w:r>
        <w:t>Agreement</w:t>
      </w:r>
      <w:r w:rsidRPr="00C33EC9">
        <w:t>.</w:t>
      </w:r>
    </w:p>
    <w:p w14:paraId="07AF1861" w14:textId="2F5DBA2E" w:rsidR="00D55E49" w:rsidRPr="00C33EC9" w:rsidRDefault="00D55E49" w:rsidP="00B77A73">
      <w:pPr>
        <w:pStyle w:val="KHeading1"/>
        <w:rPr>
          <w:rFonts w:cs="Arial"/>
          <w:b/>
          <w:szCs w:val="22"/>
        </w:rPr>
      </w:pPr>
      <w:r w:rsidRPr="00C33EC9">
        <w:rPr>
          <w:rFonts w:cs="Arial"/>
          <w:b/>
          <w:szCs w:val="22"/>
          <w:u w:val="single"/>
        </w:rPr>
        <w:t>Compensation</w:t>
      </w:r>
      <w:r w:rsidR="00CB70F7" w:rsidRPr="00C33EC9">
        <w:rPr>
          <w:rFonts w:cs="Arial"/>
          <w:b/>
          <w:szCs w:val="22"/>
          <w:u w:val="single"/>
        </w:rPr>
        <w:fldChar w:fldCharType="begin"/>
      </w:r>
      <w:r w:rsidR="00CB70F7" w:rsidRPr="00C33EC9">
        <w:rPr>
          <w:rFonts w:cs="Arial"/>
          <w:b/>
          <w:szCs w:val="22"/>
        </w:rPr>
        <w:instrText xml:space="preserve"> TC "</w:instrText>
      </w:r>
      <w:bookmarkStart w:id="3" w:name="_Toc520903737"/>
      <w:r w:rsidR="00CB70F7" w:rsidRPr="00C33EC9">
        <w:rPr>
          <w:rFonts w:cs="Arial"/>
          <w:b/>
          <w:szCs w:val="22"/>
          <w:u w:val="single"/>
        </w:rPr>
        <w:instrText>Compensation</w:instrText>
      </w:r>
      <w:bookmarkEnd w:id="3"/>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A23FD0" w:rsidRPr="00C33EC9">
        <w:rPr>
          <w:rFonts w:cs="Arial"/>
          <w:b/>
          <w:szCs w:val="22"/>
        </w:rPr>
        <w:tab/>
      </w:r>
    </w:p>
    <w:p w14:paraId="6346F65C" w14:textId="61C64C78" w:rsidR="00DC3B74" w:rsidRPr="00DC3B74" w:rsidRDefault="00694F24" w:rsidP="006510D9">
      <w:pPr>
        <w:pStyle w:val="KHeading2"/>
        <w:numPr>
          <w:ilvl w:val="1"/>
          <w:numId w:val="12"/>
        </w:numPr>
        <w:ind w:left="1440" w:hanging="720"/>
        <w:rPr>
          <w:u w:val="single"/>
        </w:rPr>
      </w:pPr>
      <w:r w:rsidRPr="00D14322">
        <w:rPr>
          <w:u w:val="single"/>
        </w:rPr>
        <w:t>Maximum Compensation and Budget Requirement</w:t>
      </w:r>
      <w:r>
        <w:t xml:space="preserve">. </w:t>
      </w:r>
      <w:r w:rsidR="00D14322">
        <w:t xml:space="preserve">Citizens’ obligation to pay Vendor for all Services </w:t>
      </w:r>
      <w:r w:rsidR="00955098">
        <w:t xml:space="preserve">accepted </w:t>
      </w:r>
      <w:r w:rsidR="00D14322">
        <w:t>and reimbursable expenses under this Agreement (</w:t>
      </w:r>
      <w:proofErr w:type="spellStart"/>
      <w:r w:rsidR="00D14322">
        <w:t>i</w:t>
      </w:r>
      <w:proofErr w:type="spellEnd"/>
      <w:r w:rsidR="00D14322">
        <w:t xml:space="preserve">) </w:t>
      </w:r>
      <w:r w:rsidR="00D14322">
        <w:rPr>
          <w:color w:val="000000"/>
        </w:rPr>
        <w:t xml:space="preserve">shall not exceed a total dollar amount of </w:t>
      </w:r>
      <w:r w:rsidR="00D14322">
        <w:rPr>
          <w:color w:val="FF0000"/>
        </w:rPr>
        <w:t>[$DOLLAR AMOUNT]</w:t>
      </w:r>
      <w:r w:rsidR="00AC02E6">
        <w:rPr>
          <w:color w:val="000000"/>
        </w:rPr>
        <w:t>;</w:t>
      </w:r>
      <w:r w:rsidR="00D14322">
        <w:rPr>
          <w:color w:val="000000"/>
        </w:rPr>
        <w:t xml:space="preserve"> and</w:t>
      </w:r>
      <w:r w:rsidR="00AC02E6">
        <w:rPr>
          <w:color w:val="000000"/>
        </w:rPr>
        <w:t>,</w:t>
      </w:r>
      <w:r w:rsidR="00D14322">
        <w:rPr>
          <w:color w:val="000000"/>
        </w:rPr>
        <w:t xml:space="preserve"> (ii) is contingent on the availability of budgeted funds approved by Citizens’ Board of Governors on an annual basis. </w:t>
      </w:r>
    </w:p>
    <w:p w14:paraId="61C606C7" w14:textId="77777777" w:rsidR="00A66030" w:rsidRPr="00AC4687"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04FEECDE" w14:textId="77777777" w:rsidR="00A66030" w:rsidRPr="00C33EC9"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42D1BBB1" w14:textId="77777777" w:rsidR="00A66030" w:rsidRPr="00C33EC9"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031A543D" w14:textId="77777777" w:rsidR="00A66030" w:rsidRPr="00C33EC9"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241E60F5" w14:textId="77777777" w:rsidR="00A66030" w:rsidRPr="00C33EC9"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3C7A64B5" w14:textId="77777777" w:rsidR="00A66030" w:rsidRPr="00C33EC9"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3E764C18" w14:textId="77777777" w:rsidR="00A66030" w:rsidRPr="00C33EC9"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5B52147A" w14:textId="77777777" w:rsidR="00A66030" w:rsidRPr="00C33EC9" w:rsidRDefault="00A66030" w:rsidP="006510D9">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7FF35A90" w14:textId="4B2F0582" w:rsidR="00076A18" w:rsidRPr="0044501D" w:rsidRDefault="00FB197D" w:rsidP="00F74FFE">
      <w:pPr>
        <w:pStyle w:val="KHeading2"/>
        <w:ind w:left="1440" w:hanging="720"/>
        <w:rPr>
          <w:color w:val="FF0000"/>
        </w:rPr>
      </w:pPr>
      <w:r w:rsidRPr="00076A18">
        <w:rPr>
          <w:u w:val="single"/>
        </w:rPr>
        <w:t>Payment</w:t>
      </w:r>
      <w:r w:rsidR="008E5E12">
        <w:rPr>
          <w:u w:val="single"/>
        </w:rPr>
        <w:t>s</w:t>
      </w:r>
      <w:r w:rsidRPr="00FB197D">
        <w:t>.</w:t>
      </w:r>
      <w:r w:rsidR="008E5E12">
        <w:t xml:space="preserve"> Payments shall be made </w:t>
      </w:r>
      <w:r w:rsidR="00C779A2">
        <w:t>to Vendor by Citizens Net 30 of receipt of an accurate and complete invoice</w:t>
      </w:r>
      <w:r w:rsidR="008E5E12">
        <w:t xml:space="preserve">, including any incentive discounts and credits, in accordance with the rates outlined </w:t>
      </w:r>
      <w:r w:rsidR="00F74FFE">
        <w:t>below:</w:t>
      </w:r>
    </w:p>
    <w:tbl>
      <w:tblPr>
        <w:tblStyle w:val="TableGrid"/>
        <w:tblW w:w="9635" w:type="dxa"/>
        <w:jc w:val="center"/>
        <w:tblLayout w:type="fixed"/>
        <w:tblLook w:val="04A0" w:firstRow="1" w:lastRow="0" w:firstColumn="1" w:lastColumn="0" w:noHBand="0" w:noVBand="1"/>
      </w:tblPr>
      <w:tblGrid>
        <w:gridCol w:w="1350"/>
        <w:gridCol w:w="1525"/>
        <w:gridCol w:w="1360"/>
        <w:gridCol w:w="720"/>
        <w:gridCol w:w="720"/>
        <w:gridCol w:w="720"/>
        <w:gridCol w:w="1080"/>
        <w:gridCol w:w="1080"/>
        <w:gridCol w:w="1080"/>
      </w:tblGrid>
      <w:tr w:rsidR="0044501D" w14:paraId="43B7D75C" w14:textId="77777777" w:rsidTr="009861AD">
        <w:trPr>
          <w:jc w:val="center"/>
        </w:trPr>
        <w:tc>
          <w:tcPr>
            <w:tcW w:w="1350" w:type="dxa"/>
            <w:shd w:val="clear" w:color="auto" w:fill="DEEAF6" w:themeFill="accent1" w:themeFillTint="33"/>
          </w:tcPr>
          <w:p w14:paraId="6B983887" w14:textId="2E79E50F"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Model #</w:t>
            </w:r>
          </w:p>
        </w:tc>
        <w:tc>
          <w:tcPr>
            <w:tcW w:w="1525" w:type="dxa"/>
            <w:shd w:val="clear" w:color="auto" w:fill="DEEAF6" w:themeFill="accent1" w:themeFillTint="33"/>
          </w:tcPr>
          <w:p w14:paraId="49BD76C6" w14:textId="07185FA7"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Serial #</w:t>
            </w:r>
          </w:p>
        </w:tc>
        <w:tc>
          <w:tcPr>
            <w:tcW w:w="1360" w:type="dxa"/>
            <w:shd w:val="clear" w:color="auto" w:fill="DEEAF6" w:themeFill="accent1" w:themeFillTint="33"/>
          </w:tcPr>
          <w:p w14:paraId="04825AC8" w14:textId="54098855"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Location</w:t>
            </w:r>
          </w:p>
        </w:tc>
        <w:tc>
          <w:tcPr>
            <w:tcW w:w="720" w:type="dxa"/>
            <w:shd w:val="clear" w:color="auto" w:fill="DEEAF6" w:themeFill="accent1" w:themeFillTint="33"/>
          </w:tcPr>
          <w:p w14:paraId="17E15DC3" w14:textId="6660E51D"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Year 1</w:t>
            </w:r>
          </w:p>
        </w:tc>
        <w:tc>
          <w:tcPr>
            <w:tcW w:w="720" w:type="dxa"/>
            <w:shd w:val="clear" w:color="auto" w:fill="DEEAF6" w:themeFill="accent1" w:themeFillTint="33"/>
          </w:tcPr>
          <w:p w14:paraId="3BD6B0AC" w14:textId="62330625"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Year 2</w:t>
            </w:r>
          </w:p>
        </w:tc>
        <w:tc>
          <w:tcPr>
            <w:tcW w:w="720" w:type="dxa"/>
            <w:shd w:val="clear" w:color="auto" w:fill="DEEAF6" w:themeFill="accent1" w:themeFillTint="33"/>
          </w:tcPr>
          <w:p w14:paraId="36447E1E" w14:textId="0E7AB12A"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Year 3</w:t>
            </w:r>
          </w:p>
        </w:tc>
        <w:tc>
          <w:tcPr>
            <w:tcW w:w="1080" w:type="dxa"/>
            <w:shd w:val="clear" w:color="auto" w:fill="DEEAF6" w:themeFill="accent1" w:themeFillTint="33"/>
          </w:tcPr>
          <w:p w14:paraId="7CA7113F" w14:textId="7038FE6B"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Renewal (</w:t>
            </w:r>
            <w:r w:rsidR="006A5A63">
              <w:rPr>
                <w:rFonts w:ascii="Arial" w:hAnsi="Arial" w:cs="Arial"/>
                <w:sz w:val="20"/>
                <w:szCs w:val="20"/>
              </w:rPr>
              <w:t>Y</w:t>
            </w:r>
            <w:r w:rsidRPr="0044501D">
              <w:rPr>
                <w:rFonts w:ascii="Arial" w:hAnsi="Arial" w:cs="Arial"/>
                <w:sz w:val="20"/>
                <w:szCs w:val="20"/>
              </w:rPr>
              <w:t>ear 4)</w:t>
            </w:r>
          </w:p>
        </w:tc>
        <w:tc>
          <w:tcPr>
            <w:tcW w:w="1080" w:type="dxa"/>
            <w:shd w:val="clear" w:color="auto" w:fill="DEEAF6" w:themeFill="accent1" w:themeFillTint="33"/>
          </w:tcPr>
          <w:p w14:paraId="304DA19D" w14:textId="55854269"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Renewal (</w:t>
            </w:r>
            <w:r w:rsidR="006A5A63">
              <w:rPr>
                <w:rFonts w:ascii="Arial" w:hAnsi="Arial" w:cs="Arial"/>
                <w:sz w:val="20"/>
                <w:szCs w:val="20"/>
              </w:rPr>
              <w:t>Y</w:t>
            </w:r>
            <w:r w:rsidRPr="0044501D">
              <w:rPr>
                <w:rFonts w:ascii="Arial" w:hAnsi="Arial" w:cs="Arial"/>
                <w:sz w:val="20"/>
                <w:szCs w:val="20"/>
              </w:rPr>
              <w:t>ear 5)</w:t>
            </w:r>
          </w:p>
        </w:tc>
        <w:tc>
          <w:tcPr>
            <w:tcW w:w="1080" w:type="dxa"/>
            <w:shd w:val="clear" w:color="auto" w:fill="DEEAF6" w:themeFill="accent1" w:themeFillTint="33"/>
          </w:tcPr>
          <w:p w14:paraId="2D3DC41A" w14:textId="74519394" w:rsidR="0018372C" w:rsidRPr="0044501D" w:rsidRDefault="0018372C" w:rsidP="0018372C">
            <w:pPr>
              <w:widowControl/>
              <w:adjustRightInd/>
              <w:spacing w:line="240" w:lineRule="auto"/>
              <w:jc w:val="center"/>
              <w:textAlignment w:val="auto"/>
              <w:rPr>
                <w:rFonts w:ascii="Arial" w:hAnsi="Arial" w:cs="Arial"/>
                <w:sz w:val="20"/>
                <w:szCs w:val="20"/>
              </w:rPr>
            </w:pPr>
            <w:r w:rsidRPr="0044501D">
              <w:rPr>
                <w:rFonts w:ascii="Arial" w:hAnsi="Arial" w:cs="Arial"/>
                <w:sz w:val="20"/>
                <w:szCs w:val="20"/>
              </w:rPr>
              <w:t>Renewal (</w:t>
            </w:r>
            <w:r w:rsidR="006A5A63">
              <w:rPr>
                <w:rFonts w:ascii="Arial" w:hAnsi="Arial" w:cs="Arial"/>
                <w:sz w:val="20"/>
                <w:szCs w:val="20"/>
              </w:rPr>
              <w:t>Y</w:t>
            </w:r>
            <w:r w:rsidRPr="0044501D">
              <w:rPr>
                <w:rFonts w:ascii="Arial" w:hAnsi="Arial" w:cs="Arial"/>
                <w:sz w:val="20"/>
                <w:szCs w:val="20"/>
              </w:rPr>
              <w:t>ear 6)</w:t>
            </w:r>
          </w:p>
        </w:tc>
      </w:tr>
      <w:tr w:rsidR="0044501D" w14:paraId="1D77F92E" w14:textId="77777777" w:rsidTr="009861AD">
        <w:trPr>
          <w:jc w:val="center"/>
        </w:trPr>
        <w:tc>
          <w:tcPr>
            <w:tcW w:w="1350" w:type="dxa"/>
          </w:tcPr>
          <w:p w14:paraId="7ECDCB38" w14:textId="56C9C91B" w:rsidR="0018372C" w:rsidRPr="009861AD" w:rsidRDefault="009861AD" w:rsidP="0018372C">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RICOH PRO 8320</w:t>
            </w:r>
          </w:p>
        </w:tc>
        <w:tc>
          <w:tcPr>
            <w:tcW w:w="1525" w:type="dxa"/>
          </w:tcPr>
          <w:p w14:paraId="37FA2BA4" w14:textId="0C06CAC0" w:rsidR="0018372C" w:rsidRPr="009861AD" w:rsidRDefault="009861AD" w:rsidP="0018372C">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5471CC00014</w:t>
            </w:r>
          </w:p>
        </w:tc>
        <w:tc>
          <w:tcPr>
            <w:tcW w:w="1360" w:type="dxa"/>
          </w:tcPr>
          <w:p w14:paraId="32085CB5" w14:textId="77777777"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301 West Bay Street, Suite 1300</w:t>
            </w:r>
          </w:p>
          <w:p w14:paraId="1368F5A4" w14:textId="05D96213" w:rsidR="0018372C" w:rsidRPr="0044501D" w:rsidRDefault="009861AD" w:rsidP="009861AD">
            <w:pPr>
              <w:widowControl/>
              <w:adjustRightInd/>
              <w:spacing w:line="240" w:lineRule="auto"/>
              <w:jc w:val="left"/>
              <w:textAlignment w:val="auto"/>
              <w:rPr>
                <w:rFonts w:ascii="Arial" w:hAnsi="Arial" w:cs="Arial"/>
                <w:sz w:val="20"/>
                <w:szCs w:val="20"/>
              </w:rPr>
            </w:pPr>
            <w:r w:rsidRPr="009861AD">
              <w:rPr>
                <w:rFonts w:ascii="Arial" w:hAnsi="Arial" w:cs="Arial"/>
                <w:bCs/>
                <w:sz w:val="20"/>
                <w:szCs w:val="20"/>
              </w:rPr>
              <w:t>Jacksonville</w:t>
            </w:r>
            <w:r w:rsidRPr="009861AD">
              <w:rPr>
                <w:rFonts w:ascii="Arial" w:hAnsi="Arial" w:cs="Arial"/>
                <w:sz w:val="20"/>
                <w:szCs w:val="20"/>
              </w:rPr>
              <w:t>, FL 32202</w:t>
            </w:r>
          </w:p>
        </w:tc>
        <w:tc>
          <w:tcPr>
            <w:tcW w:w="720" w:type="dxa"/>
          </w:tcPr>
          <w:p w14:paraId="3CA45DDC" w14:textId="77777777" w:rsidR="0018372C" w:rsidRPr="0044501D" w:rsidRDefault="0018372C" w:rsidP="0018372C">
            <w:pPr>
              <w:pStyle w:val="KHeading2"/>
              <w:numPr>
                <w:ilvl w:val="0"/>
                <w:numId w:val="0"/>
              </w:numPr>
              <w:jc w:val="left"/>
              <w:rPr>
                <w:sz w:val="20"/>
                <w:szCs w:val="20"/>
              </w:rPr>
            </w:pPr>
          </w:p>
        </w:tc>
        <w:tc>
          <w:tcPr>
            <w:tcW w:w="720" w:type="dxa"/>
          </w:tcPr>
          <w:p w14:paraId="08B18D21" w14:textId="77777777" w:rsidR="0018372C" w:rsidRPr="0044501D" w:rsidRDefault="0018372C" w:rsidP="0018372C">
            <w:pPr>
              <w:pStyle w:val="KHeading2"/>
              <w:numPr>
                <w:ilvl w:val="0"/>
                <w:numId w:val="0"/>
              </w:numPr>
              <w:jc w:val="left"/>
              <w:rPr>
                <w:sz w:val="20"/>
                <w:szCs w:val="20"/>
              </w:rPr>
            </w:pPr>
          </w:p>
        </w:tc>
        <w:tc>
          <w:tcPr>
            <w:tcW w:w="720" w:type="dxa"/>
          </w:tcPr>
          <w:p w14:paraId="1E7FD40D" w14:textId="77777777" w:rsidR="0018372C" w:rsidRPr="0044501D" w:rsidRDefault="0018372C" w:rsidP="0018372C">
            <w:pPr>
              <w:pStyle w:val="KHeading2"/>
              <w:numPr>
                <w:ilvl w:val="0"/>
                <w:numId w:val="0"/>
              </w:numPr>
              <w:jc w:val="left"/>
              <w:rPr>
                <w:sz w:val="20"/>
                <w:szCs w:val="20"/>
              </w:rPr>
            </w:pPr>
          </w:p>
        </w:tc>
        <w:tc>
          <w:tcPr>
            <w:tcW w:w="1080" w:type="dxa"/>
          </w:tcPr>
          <w:p w14:paraId="28F6BEE1" w14:textId="77777777" w:rsidR="0018372C" w:rsidRPr="0044501D" w:rsidRDefault="0018372C" w:rsidP="0018372C">
            <w:pPr>
              <w:pStyle w:val="KHeading2"/>
              <w:numPr>
                <w:ilvl w:val="0"/>
                <w:numId w:val="0"/>
              </w:numPr>
              <w:jc w:val="left"/>
              <w:rPr>
                <w:sz w:val="20"/>
                <w:szCs w:val="20"/>
              </w:rPr>
            </w:pPr>
          </w:p>
        </w:tc>
        <w:tc>
          <w:tcPr>
            <w:tcW w:w="1080" w:type="dxa"/>
          </w:tcPr>
          <w:p w14:paraId="1D059482" w14:textId="77777777" w:rsidR="0018372C" w:rsidRPr="0044501D" w:rsidRDefault="0018372C" w:rsidP="0018372C">
            <w:pPr>
              <w:pStyle w:val="KHeading2"/>
              <w:numPr>
                <w:ilvl w:val="0"/>
                <w:numId w:val="0"/>
              </w:numPr>
              <w:jc w:val="left"/>
              <w:rPr>
                <w:sz w:val="20"/>
                <w:szCs w:val="20"/>
              </w:rPr>
            </w:pPr>
          </w:p>
        </w:tc>
        <w:tc>
          <w:tcPr>
            <w:tcW w:w="1080" w:type="dxa"/>
          </w:tcPr>
          <w:p w14:paraId="7A1EFFBD" w14:textId="77777777" w:rsidR="0018372C" w:rsidRPr="0044501D" w:rsidRDefault="0018372C" w:rsidP="0018372C">
            <w:pPr>
              <w:pStyle w:val="KHeading2"/>
              <w:numPr>
                <w:ilvl w:val="0"/>
                <w:numId w:val="0"/>
              </w:numPr>
              <w:jc w:val="left"/>
              <w:rPr>
                <w:sz w:val="20"/>
                <w:szCs w:val="20"/>
              </w:rPr>
            </w:pPr>
          </w:p>
        </w:tc>
      </w:tr>
      <w:tr w:rsidR="0044501D" w14:paraId="30685D96" w14:textId="77777777" w:rsidTr="00E14871">
        <w:trPr>
          <w:trHeight w:val="296"/>
          <w:jc w:val="center"/>
        </w:trPr>
        <w:tc>
          <w:tcPr>
            <w:tcW w:w="4235" w:type="dxa"/>
            <w:gridSpan w:val="3"/>
          </w:tcPr>
          <w:p w14:paraId="06184F5F" w14:textId="47E1FF37" w:rsidR="0018372C" w:rsidRPr="0044501D" w:rsidRDefault="009861AD" w:rsidP="0018372C">
            <w:pPr>
              <w:widowControl/>
              <w:adjustRightInd/>
              <w:spacing w:line="240" w:lineRule="auto"/>
              <w:jc w:val="center"/>
              <w:textAlignment w:val="auto"/>
              <w:rPr>
                <w:rFonts w:ascii="Arial" w:hAnsi="Arial" w:cs="Arial"/>
                <w:sz w:val="20"/>
                <w:szCs w:val="20"/>
              </w:rPr>
            </w:pPr>
            <w:r>
              <w:rPr>
                <w:rFonts w:ascii="Arial" w:hAnsi="Arial" w:cs="Arial"/>
                <w:sz w:val="20"/>
                <w:szCs w:val="20"/>
              </w:rPr>
              <w:t xml:space="preserve">Overage Cost: </w:t>
            </w:r>
            <w:r w:rsidR="0018372C" w:rsidRPr="0044501D">
              <w:rPr>
                <w:rFonts w:ascii="Arial" w:hAnsi="Arial" w:cs="Arial"/>
                <w:sz w:val="20"/>
                <w:szCs w:val="20"/>
              </w:rPr>
              <w:t>Amount per double click over 50,000</w:t>
            </w:r>
          </w:p>
        </w:tc>
        <w:tc>
          <w:tcPr>
            <w:tcW w:w="720" w:type="dxa"/>
          </w:tcPr>
          <w:p w14:paraId="6DA996B2" w14:textId="77777777" w:rsidR="0018372C" w:rsidRPr="0044501D" w:rsidRDefault="0018372C" w:rsidP="0018372C">
            <w:pPr>
              <w:pStyle w:val="KHeading2"/>
              <w:numPr>
                <w:ilvl w:val="0"/>
                <w:numId w:val="0"/>
              </w:numPr>
              <w:jc w:val="left"/>
              <w:rPr>
                <w:sz w:val="20"/>
                <w:szCs w:val="20"/>
              </w:rPr>
            </w:pPr>
          </w:p>
        </w:tc>
        <w:tc>
          <w:tcPr>
            <w:tcW w:w="720" w:type="dxa"/>
          </w:tcPr>
          <w:p w14:paraId="1E072ACB" w14:textId="77777777" w:rsidR="0018372C" w:rsidRPr="0044501D" w:rsidRDefault="0018372C" w:rsidP="0018372C">
            <w:pPr>
              <w:pStyle w:val="KHeading2"/>
              <w:numPr>
                <w:ilvl w:val="0"/>
                <w:numId w:val="0"/>
              </w:numPr>
              <w:jc w:val="left"/>
              <w:rPr>
                <w:sz w:val="20"/>
                <w:szCs w:val="20"/>
              </w:rPr>
            </w:pPr>
          </w:p>
        </w:tc>
        <w:tc>
          <w:tcPr>
            <w:tcW w:w="720" w:type="dxa"/>
          </w:tcPr>
          <w:p w14:paraId="1401789A" w14:textId="77777777" w:rsidR="0018372C" w:rsidRPr="0044501D" w:rsidRDefault="0018372C" w:rsidP="0018372C">
            <w:pPr>
              <w:pStyle w:val="KHeading2"/>
              <w:numPr>
                <w:ilvl w:val="0"/>
                <w:numId w:val="0"/>
              </w:numPr>
              <w:jc w:val="left"/>
              <w:rPr>
                <w:sz w:val="20"/>
                <w:szCs w:val="20"/>
              </w:rPr>
            </w:pPr>
          </w:p>
        </w:tc>
        <w:tc>
          <w:tcPr>
            <w:tcW w:w="1080" w:type="dxa"/>
          </w:tcPr>
          <w:p w14:paraId="177C7108" w14:textId="77777777" w:rsidR="0018372C" w:rsidRPr="0044501D" w:rsidRDefault="0018372C" w:rsidP="0018372C">
            <w:pPr>
              <w:pStyle w:val="KHeading2"/>
              <w:numPr>
                <w:ilvl w:val="0"/>
                <w:numId w:val="0"/>
              </w:numPr>
              <w:jc w:val="left"/>
              <w:rPr>
                <w:sz w:val="20"/>
                <w:szCs w:val="20"/>
              </w:rPr>
            </w:pPr>
          </w:p>
        </w:tc>
        <w:tc>
          <w:tcPr>
            <w:tcW w:w="1080" w:type="dxa"/>
          </w:tcPr>
          <w:p w14:paraId="1C090584" w14:textId="77777777" w:rsidR="0018372C" w:rsidRPr="0044501D" w:rsidRDefault="0018372C" w:rsidP="0018372C">
            <w:pPr>
              <w:pStyle w:val="KHeading2"/>
              <w:numPr>
                <w:ilvl w:val="0"/>
                <w:numId w:val="0"/>
              </w:numPr>
              <w:jc w:val="left"/>
              <w:rPr>
                <w:sz w:val="20"/>
                <w:szCs w:val="20"/>
              </w:rPr>
            </w:pPr>
          </w:p>
        </w:tc>
        <w:tc>
          <w:tcPr>
            <w:tcW w:w="1080" w:type="dxa"/>
          </w:tcPr>
          <w:p w14:paraId="212568FB" w14:textId="77777777" w:rsidR="0018372C" w:rsidRPr="0044501D" w:rsidRDefault="0018372C" w:rsidP="0018372C">
            <w:pPr>
              <w:pStyle w:val="KHeading2"/>
              <w:numPr>
                <w:ilvl w:val="0"/>
                <w:numId w:val="0"/>
              </w:numPr>
              <w:jc w:val="left"/>
              <w:rPr>
                <w:sz w:val="20"/>
                <w:szCs w:val="20"/>
              </w:rPr>
            </w:pPr>
          </w:p>
        </w:tc>
      </w:tr>
      <w:tr w:rsidR="009861AD" w14:paraId="799939A6" w14:textId="77777777" w:rsidTr="009861AD">
        <w:trPr>
          <w:jc w:val="center"/>
        </w:trPr>
        <w:tc>
          <w:tcPr>
            <w:tcW w:w="1350" w:type="dxa"/>
          </w:tcPr>
          <w:p w14:paraId="2EDB0701" w14:textId="1EC69DC5"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RICOH PRO 8320</w:t>
            </w:r>
          </w:p>
        </w:tc>
        <w:tc>
          <w:tcPr>
            <w:tcW w:w="1525" w:type="dxa"/>
          </w:tcPr>
          <w:p w14:paraId="23A87E18" w14:textId="7BD3F810"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5471CC00026</w:t>
            </w:r>
          </w:p>
        </w:tc>
        <w:tc>
          <w:tcPr>
            <w:tcW w:w="1360" w:type="dxa"/>
          </w:tcPr>
          <w:p w14:paraId="10CE2F1D" w14:textId="77777777"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301 West Bay Street, Suite 1300</w:t>
            </w:r>
          </w:p>
          <w:p w14:paraId="11FA1233" w14:textId="50F21D96" w:rsidR="009861AD" w:rsidRPr="0044501D" w:rsidRDefault="009861AD" w:rsidP="009861AD">
            <w:pPr>
              <w:widowControl/>
              <w:adjustRightInd/>
              <w:spacing w:line="240" w:lineRule="auto"/>
              <w:jc w:val="left"/>
              <w:textAlignment w:val="auto"/>
              <w:rPr>
                <w:sz w:val="20"/>
                <w:szCs w:val="20"/>
              </w:rPr>
            </w:pPr>
            <w:r w:rsidRPr="009861AD">
              <w:rPr>
                <w:rFonts w:ascii="Arial" w:hAnsi="Arial" w:cs="Arial"/>
                <w:bCs/>
                <w:sz w:val="20"/>
                <w:szCs w:val="20"/>
              </w:rPr>
              <w:t>Jacksonville</w:t>
            </w:r>
            <w:r w:rsidRPr="009861AD">
              <w:rPr>
                <w:rFonts w:ascii="Arial" w:hAnsi="Arial" w:cs="Arial"/>
                <w:sz w:val="20"/>
                <w:szCs w:val="20"/>
              </w:rPr>
              <w:t>, FL 32202</w:t>
            </w:r>
          </w:p>
        </w:tc>
        <w:tc>
          <w:tcPr>
            <w:tcW w:w="720" w:type="dxa"/>
          </w:tcPr>
          <w:p w14:paraId="4198D9D6" w14:textId="77777777" w:rsidR="009861AD" w:rsidRPr="0044501D" w:rsidRDefault="009861AD" w:rsidP="009861AD">
            <w:pPr>
              <w:pStyle w:val="KHeading2"/>
              <w:numPr>
                <w:ilvl w:val="0"/>
                <w:numId w:val="0"/>
              </w:numPr>
              <w:jc w:val="left"/>
              <w:rPr>
                <w:sz w:val="20"/>
                <w:szCs w:val="20"/>
              </w:rPr>
            </w:pPr>
          </w:p>
        </w:tc>
        <w:tc>
          <w:tcPr>
            <w:tcW w:w="720" w:type="dxa"/>
          </w:tcPr>
          <w:p w14:paraId="1FE9C022" w14:textId="77777777" w:rsidR="009861AD" w:rsidRPr="0044501D" w:rsidRDefault="009861AD" w:rsidP="009861AD">
            <w:pPr>
              <w:pStyle w:val="KHeading2"/>
              <w:numPr>
                <w:ilvl w:val="0"/>
                <w:numId w:val="0"/>
              </w:numPr>
              <w:jc w:val="left"/>
              <w:rPr>
                <w:sz w:val="20"/>
                <w:szCs w:val="20"/>
              </w:rPr>
            </w:pPr>
          </w:p>
        </w:tc>
        <w:tc>
          <w:tcPr>
            <w:tcW w:w="720" w:type="dxa"/>
          </w:tcPr>
          <w:p w14:paraId="657CA693" w14:textId="77777777" w:rsidR="009861AD" w:rsidRPr="0044501D" w:rsidRDefault="009861AD" w:rsidP="009861AD">
            <w:pPr>
              <w:pStyle w:val="KHeading2"/>
              <w:numPr>
                <w:ilvl w:val="0"/>
                <w:numId w:val="0"/>
              </w:numPr>
              <w:jc w:val="left"/>
              <w:rPr>
                <w:sz w:val="20"/>
                <w:szCs w:val="20"/>
              </w:rPr>
            </w:pPr>
          </w:p>
        </w:tc>
        <w:tc>
          <w:tcPr>
            <w:tcW w:w="1080" w:type="dxa"/>
          </w:tcPr>
          <w:p w14:paraId="7A0F4784" w14:textId="77777777" w:rsidR="009861AD" w:rsidRPr="0044501D" w:rsidRDefault="009861AD" w:rsidP="009861AD">
            <w:pPr>
              <w:pStyle w:val="KHeading2"/>
              <w:numPr>
                <w:ilvl w:val="0"/>
                <w:numId w:val="0"/>
              </w:numPr>
              <w:jc w:val="left"/>
              <w:rPr>
                <w:sz w:val="20"/>
                <w:szCs w:val="20"/>
              </w:rPr>
            </w:pPr>
          </w:p>
        </w:tc>
        <w:tc>
          <w:tcPr>
            <w:tcW w:w="1080" w:type="dxa"/>
          </w:tcPr>
          <w:p w14:paraId="3737854B" w14:textId="77777777" w:rsidR="009861AD" w:rsidRPr="0044501D" w:rsidRDefault="009861AD" w:rsidP="009861AD">
            <w:pPr>
              <w:pStyle w:val="KHeading2"/>
              <w:numPr>
                <w:ilvl w:val="0"/>
                <w:numId w:val="0"/>
              </w:numPr>
              <w:jc w:val="left"/>
              <w:rPr>
                <w:sz w:val="20"/>
                <w:szCs w:val="20"/>
              </w:rPr>
            </w:pPr>
          </w:p>
        </w:tc>
        <w:tc>
          <w:tcPr>
            <w:tcW w:w="1080" w:type="dxa"/>
          </w:tcPr>
          <w:p w14:paraId="68016F47" w14:textId="77777777" w:rsidR="009861AD" w:rsidRPr="0044501D" w:rsidRDefault="009861AD" w:rsidP="009861AD">
            <w:pPr>
              <w:pStyle w:val="KHeading2"/>
              <w:numPr>
                <w:ilvl w:val="0"/>
                <w:numId w:val="0"/>
              </w:numPr>
              <w:jc w:val="left"/>
              <w:rPr>
                <w:sz w:val="20"/>
                <w:szCs w:val="20"/>
              </w:rPr>
            </w:pPr>
          </w:p>
        </w:tc>
      </w:tr>
      <w:tr w:rsidR="009861AD" w14:paraId="51B3549C" w14:textId="77777777" w:rsidTr="00E14871">
        <w:trPr>
          <w:jc w:val="center"/>
        </w:trPr>
        <w:tc>
          <w:tcPr>
            <w:tcW w:w="4235" w:type="dxa"/>
            <w:gridSpan w:val="3"/>
          </w:tcPr>
          <w:p w14:paraId="7A130706" w14:textId="2B9B9ABD" w:rsidR="009861AD" w:rsidRPr="0044501D" w:rsidRDefault="009861AD" w:rsidP="009861AD">
            <w:pPr>
              <w:pStyle w:val="KHeading2"/>
              <w:numPr>
                <w:ilvl w:val="0"/>
                <w:numId w:val="0"/>
              </w:numPr>
              <w:jc w:val="center"/>
              <w:rPr>
                <w:sz w:val="20"/>
                <w:szCs w:val="20"/>
              </w:rPr>
            </w:pPr>
            <w:r>
              <w:rPr>
                <w:sz w:val="20"/>
                <w:szCs w:val="20"/>
              </w:rPr>
              <w:t xml:space="preserve">Overage Cost: </w:t>
            </w:r>
            <w:r w:rsidRPr="0044501D">
              <w:rPr>
                <w:sz w:val="20"/>
                <w:szCs w:val="20"/>
              </w:rPr>
              <w:t>Amount per double click over 50,000</w:t>
            </w:r>
          </w:p>
        </w:tc>
        <w:tc>
          <w:tcPr>
            <w:tcW w:w="720" w:type="dxa"/>
          </w:tcPr>
          <w:p w14:paraId="47015C07" w14:textId="77777777" w:rsidR="009861AD" w:rsidRPr="0044501D" w:rsidRDefault="009861AD" w:rsidP="009861AD">
            <w:pPr>
              <w:pStyle w:val="KHeading2"/>
              <w:numPr>
                <w:ilvl w:val="0"/>
                <w:numId w:val="0"/>
              </w:numPr>
              <w:jc w:val="left"/>
              <w:rPr>
                <w:sz w:val="20"/>
                <w:szCs w:val="20"/>
              </w:rPr>
            </w:pPr>
          </w:p>
        </w:tc>
        <w:tc>
          <w:tcPr>
            <w:tcW w:w="720" w:type="dxa"/>
          </w:tcPr>
          <w:p w14:paraId="1A345349" w14:textId="77777777" w:rsidR="009861AD" w:rsidRPr="0044501D" w:rsidRDefault="009861AD" w:rsidP="009861AD">
            <w:pPr>
              <w:pStyle w:val="KHeading2"/>
              <w:numPr>
                <w:ilvl w:val="0"/>
                <w:numId w:val="0"/>
              </w:numPr>
              <w:jc w:val="left"/>
              <w:rPr>
                <w:sz w:val="20"/>
                <w:szCs w:val="20"/>
              </w:rPr>
            </w:pPr>
          </w:p>
        </w:tc>
        <w:tc>
          <w:tcPr>
            <w:tcW w:w="720" w:type="dxa"/>
          </w:tcPr>
          <w:p w14:paraId="646BC9B8" w14:textId="77777777" w:rsidR="009861AD" w:rsidRPr="0044501D" w:rsidRDefault="009861AD" w:rsidP="009861AD">
            <w:pPr>
              <w:pStyle w:val="KHeading2"/>
              <w:numPr>
                <w:ilvl w:val="0"/>
                <w:numId w:val="0"/>
              </w:numPr>
              <w:jc w:val="left"/>
              <w:rPr>
                <w:sz w:val="20"/>
                <w:szCs w:val="20"/>
              </w:rPr>
            </w:pPr>
          </w:p>
        </w:tc>
        <w:tc>
          <w:tcPr>
            <w:tcW w:w="1080" w:type="dxa"/>
          </w:tcPr>
          <w:p w14:paraId="16268C83" w14:textId="77777777" w:rsidR="009861AD" w:rsidRPr="0044501D" w:rsidRDefault="009861AD" w:rsidP="009861AD">
            <w:pPr>
              <w:pStyle w:val="KHeading2"/>
              <w:numPr>
                <w:ilvl w:val="0"/>
                <w:numId w:val="0"/>
              </w:numPr>
              <w:jc w:val="left"/>
              <w:rPr>
                <w:sz w:val="20"/>
                <w:szCs w:val="20"/>
              </w:rPr>
            </w:pPr>
          </w:p>
        </w:tc>
        <w:tc>
          <w:tcPr>
            <w:tcW w:w="1080" w:type="dxa"/>
          </w:tcPr>
          <w:p w14:paraId="5FE929F2" w14:textId="77777777" w:rsidR="009861AD" w:rsidRPr="0044501D" w:rsidRDefault="009861AD" w:rsidP="009861AD">
            <w:pPr>
              <w:pStyle w:val="KHeading2"/>
              <w:numPr>
                <w:ilvl w:val="0"/>
                <w:numId w:val="0"/>
              </w:numPr>
              <w:jc w:val="left"/>
              <w:rPr>
                <w:sz w:val="20"/>
                <w:szCs w:val="20"/>
              </w:rPr>
            </w:pPr>
          </w:p>
        </w:tc>
        <w:tc>
          <w:tcPr>
            <w:tcW w:w="1080" w:type="dxa"/>
          </w:tcPr>
          <w:p w14:paraId="0EFB1723" w14:textId="77777777" w:rsidR="009861AD" w:rsidRPr="0044501D" w:rsidRDefault="009861AD" w:rsidP="009861AD">
            <w:pPr>
              <w:pStyle w:val="KHeading2"/>
              <w:numPr>
                <w:ilvl w:val="0"/>
                <w:numId w:val="0"/>
              </w:numPr>
              <w:jc w:val="left"/>
              <w:rPr>
                <w:sz w:val="20"/>
                <w:szCs w:val="20"/>
              </w:rPr>
            </w:pPr>
          </w:p>
        </w:tc>
      </w:tr>
      <w:tr w:rsidR="009861AD" w14:paraId="275D6E9A" w14:textId="77777777" w:rsidTr="009861AD">
        <w:trPr>
          <w:jc w:val="center"/>
        </w:trPr>
        <w:tc>
          <w:tcPr>
            <w:tcW w:w="1350" w:type="dxa"/>
          </w:tcPr>
          <w:p w14:paraId="1666E28C" w14:textId="1999472A"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ROSETTA P 501M</w:t>
            </w:r>
          </w:p>
        </w:tc>
        <w:tc>
          <w:tcPr>
            <w:tcW w:w="1525" w:type="dxa"/>
          </w:tcPr>
          <w:p w14:paraId="040DC0D9" w14:textId="37611F96"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5211PC00469</w:t>
            </w:r>
          </w:p>
        </w:tc>
        <w:tc>
          <w:tcPr>
            <w:tcW w:w="1360" w:type="dxa"/>
          </w:tcPr>
          <w:p w14:paraId="042E527D" w14:textId="77777777"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301 West Bay Street, Suite 1300</w:t>
            </w:r>
          </w:p>
          <w:p w14:paraId="1EABE9D9" w14:textId="3FCB2906" w:rsidR="009861AD" w:rsidRPr="0044501D" w:rsidRDefault="009861AD" w:rsidP="009861AD">
            <w:pPr>
              <w:widowControl/>
              <w:adjustRightInd/>
              <w:spacing w:line="240" w:lineRule="auto"/>
              <w:jc w:val="left"/>
              <w:textAlignment w:val="auto"/>
              <w:rPr>
                <w:sz w:val="20"/>
                <w:szCs w:val="20"/>
              </w:rPr>
            </w:pPr>
            <w:r w:rsidRPr="009861AD">
              <w:rPr>
                <w:rFonts w:ascii="Arial" w:hAnsi="Arial" w:cs="Arial"/>
                <w:bCs/>
                <w:sz w:val="20"/>
                <w:szCs w:val="20"/>
              </w:rPr>
              <w:lastRenderedPageBreak/>
              <w:t>Jacksonville, FL 32202</w:t>
            </w:r>
          </w:p>
        </w:tc>
        <w:tc>
          <w:tcPr>
            <w:tcW w:w="720" w:type="dxa"/>
          </w:tcPr>
          <w:p w14:paraId="4436F955" w14:textId="77777777" w:rsidR="009861AD" w:rsidRPr="0044501D" w:rsidRDefault="009861AD" w:rsidP="009861AD">
            <w:pPr>
              <w:pStyle w:val="KHeading2"/>
              <w:numPr>
                <w:ilvl w:val="0"/>
                <w:numId w:val="0"/>
              </w:numPr>
              <w:jc w:val="left"/>
              <w:rPr>
                <w:sz w:val="20"/>
                <w:szCs w:val="20"/>
              </w:rPr>
            </w:pPr>
          </w:p>
        </w:tc>
        <w:tc>
          <w:tcPr>
            <w:tcW w:w="720" w:type="dxa"/>
          </w:tcPr>
          <w:p w14:paraId="0C080102" w14:textId="77777777" w:rsidR="009861AD" w:rsidRPr="0044501D" w:rsidRDefault="009861AD" w:rsidP="009861AD">
            <w:pPr>
              <w:pStyle w:val="KHeading2"/>
              <w:numPr>
                <w:ilvl w:val="0"/>
                <w:numId w:val="0"/>
              </w:numPr>
              <w:jc w:val="left"/>
              <w:rPr>
                <w:sz w:val="20"/>
                <w:szCs w:val="20"/>
              </w:rPr>
            </w:pPr>
          </w:p>
        </w:tc>
        <w:tc>
          <w:tcPr>
            <w:tcW w:w="720" w:type="dxa"/>
          </w:tcPr>
          <w:p w14:paraId="2A1B5603" w14:textId="77777777" w:rsidR="009861AD" w:rsidRPr="0044501D" w:rsidRDefault="009861AD" w:rsidP="009861AD">
            <w:pPr>
              <w:pStyle w:val="KHeading2"/>
              <w:numPr>
                <w:ilvl w:val="0"/>
                <w:numId w:val="0"/>
              </w:numPr>
              <w:jc w:val="left"/>
              <w:rPr>
                <w:sz w:val="20"/>
                <w:szCs w:val="20"/>
              </w:rPr>
            </w:pPr>
          </w:p>
        </w:tc>
        <w:tc>
          <w:tcPr>
            <w:tcW w:w="1080" w:type="dxa"/>
          </w:tcPr>
          <w:p w14:paraId="75BF71FA" w14:textId="77777777" w:rsidR="009861AD" w:rsidRPr="0044501D" w:rsidRDefault="009861AD" w:rsidP="009861AD">
            <w:pPr>
              <w:pStyle w:val="KHeading2"/>
              <w:numPr>
                <w:ilvl w:val="0"/>
                <w:numId w:val="0"/>
              </w:numPr>
              <w:jc w:val="left"/>
              <w:rPr>
                <w:sz w:val="20"/>
                <w:szCs w:val="20"/>
              </w:rPr>
            </w:pPr>
          </w:p>
        </w:tc>
        <w:tc>
          <w:tcPr>
            <w:tcW w:w="1080" w:type="dxa"/>
          </w:tcPr>
          <w:p w14:paraId="4C846933" w14:textId="77777777" w:rsidR="009861AD" w:rsidRPr="0044501D" w:rsidRDefault="009861AD" w:rsidP="009861AD">
            <w:pPr>
              <w:pStyle w:val="KHeading2"/>
              <w:numPr>
                <w:ilvl w:val="0"/>
                <w:numId w:val="0"/>
              </w:numPr>
              <w:jc w:val="left"/>
              <w:rPr>
                <w:sz w:val="20"/>
                <w:szCs w:val="20"/>
              </w:rPr>
            </w:pPr>
          </w:p>
        </w:tc>
        <w:tc>
          <w:tcPr>
            <w:tcW w:w="1080" w:type="dxa"/>
          </w:tcPr>
          <w:p w14:paraId="0EC49A3A" w14:textId="77777777" w:rsidR="009861AD" w:rsidRPr="0044501D" w:rsidRDefault="009861AD" w:rsidP="009861AD">
            <w:pPr>
              <w:pStyle w:val="KHeading2"/>
              <w:numPr>
                <w:ilvl w:val="0"/>
                <w:numId w:val="0"/>
              </w:numPr>
              <w:jc w:val="left"/>
              <w:rPr>
                <w:sz w:val="20"/>
                <w:szCs w:val="20"/>
              </w:rPr>
            </w:pPr>
          </w:p>
        </w:tc>
      </w:tr>
      <w:tr w:rsidR="009861AD" w14:paraId="55F306BC" w14:textId="77777777" w:rsidTr="00E14871">
        <w:trPr>
          <w:jc w:val="center"/>
        </w:trPr>
        <w:tc>
          <w:tcPr>
            <w:tcW w:w="4235" w:type="dxa"/>
            <w:gridSpan w:val="3"/>
          </w:tcPr>
          <w:p w14:paraId="005BFD7A" w14:textId="03CC7DF0" w:rsidR="009861AD" w:rsidRPr="0044501D" w:rsidRDefault="009861AD" w:rsidP="009861AD">
            <w:pPr>
              <w:pStyle w:val="KHeading2"/>
              <w:numPr>
                <w:ilvl w:val="0"/>
                <w:numId w:val="0"/>
              </w:numPr>
              <w:jc w:val="center"/>
              <w:rPr>
                <w:sz w:val="20"/>
                <w:szCs w:val="20"/>
              </w:rPr>
            </w:pPr>
            <w:r>
              <w:rPr>
                <w:sz w:val="20"/>
                <w:szCs w:val="20"/>
              </w:rPr>
              <w:t xml:space="preserve">Overage Cost: </w:t>
            </w:r>
            <w:r w:rsidRPr="0044501D">
              <w:rPr>
                <w:sz w:val="20"/>
                <w:szCs w:val="20"/>
              </w:rPr>
              <w:t>Amount per double click over 50,000</w:t>
            </w:r>
          </w:p>
        </w:tc>
        <w:tc>
          <w:tcPr>
            <w:tcW w:w="720" w:type="dxa"/>
          </w:tcPr>
          <w:p w14:paraId="6417D0A3" w14:textId="77777777" w:rsidR="009861AD" w:rsidRPr="0044501D" w:rsidRDefault="009861AD" w:rsidP="009861AD">
            <w:pPr>
              <w:pStyle w:val="KHeading2"/>
              <w:numPr>
                <w:ilvl w:val="0"/>
                <w:numId w:val="0"/>
              </w:numPr>
              <w:jc w:val="left"/>
              <w:rPr>
                <w:sz w:val="20"/>
                <w:szCs w:val="20"/>
              </w:rPr>
            </w:pPr>
          </w:p>
        </w:tc>
        <w:tc>
          <w:tcPr>
            <w:tcW w:w="720" w:type="dxa"/>
          </w:tcPr>
          <w:p w14:paraId="00ABFA93" w14:textId="77777777" w:rsidR="009861AD" w:rsidRPr="0044501D" w:rsidRDefault="009861AD" w:rsidP="009861AD">
            <w:pPr>
              <w:pStyle w:val="KHeading2"/>
              <w:numPr>
                <w:ilvl w:val="0"/>
                <w:numId w:val="0"/>
              </w:numPr>
              <w:jc w:val="left"/>
              <w:rPr>
                <w:sz w:val="20"/>
                <w:szCs w:val="20"/>
              </w:rPr>
            </w:pPr>
          </w:p>
        </w:tc>
        <w:tc>
          <w:tcPr>
            <w:tcW w:w="720" w:type="dxa"/>
          </w:tcPr>
          <w:p w14:paraId="60B896D8" w14:textId="77777777" w:rsidR="009861AD" w:rsidRPr="0044501D" w:rsidRDefault="009861AD" w:rsidP="009861AD">
            <w:pPr>
              <w:pStyle w:val="KHeading2"/>
              <w:numPr>
                <w:ilvl w:val="0"/>
                <w:numId w:val="0"/>
              </w:numPr>
              <w:jc w:val="left"/>
              <w:rPr>
                <w:sz w:val="20"/>
                <w:szCs w:val="20"/>
              </w:rPr>
            </w:pPr>
          </w:p>
        </w:tc>
        <w:tc>
          <w:tcPr>
            <w:tcW w:w="1080" w:type="dxa"/>
          </w:tcPr>
          <w:p w14:paraId="247FB437" w14:textId="77777777" w:rsidR="009861AD" w:rsidRPr="0044501D" w:rsidRDefault="009861AD" w:rsidP="009861AD">
            <w:pPr>
              <w:pStyle w:val="KHeading2"/>
              <w:numPr>
                <w:ilvl w:val="0"/>
                <w:numId w:val="0"/>
              </w:numPr>
              <w:jc w:val="left"/>
              <w:rPr>
                <w:sz w:val="20"/>
                <w:szCs w:val="20"/>
              </w:rPr>
            </w:pPr>
          </w:p>
        </w:tc>
        <w:tc>
          <w:tcPr>
            <w:tcW w:w="1080" w:type="dxa"/>
          </w:tcPr>
          <w:p w14:paraId="52315575" w14:textId="77777777" w:rsidR="009861AD" w:rsidRPr="0044501D" w:rsidRDefault="009861AD" w:rsidP="009861AD">
            <w:pPr>
              <w:pStyle w:val="KHeading2"/>
              <w:numPr>
                <w:ilvl w:val="0"/>
                <w:numId w:val="0"/>
              </w:numPr>
              <w:jc w:val="left"/>
              <w:rPr>
                <w:sz w:val="20"/>
                <w:szCs w:val="20"/>
              </w:rPr>
            </w:pPr>
          </w:p>
        </w:tc>
        <w:tc>
          <w:tcPr>
            <w:tcW w:w="1080" w:type="dxa"/>
          </w:tcPr>
          <w:p w14:paraId="49A83B2D" w14:textId="77777777" w:rsidR="009861AD" w:rsidRPr="0044501D" w:rsidRDefault="009861AD" w:rsidP="009861AD">
            <w:pPr>
              <w:pStyle w:val="KHeading2"/>
              <w:numPr>
                <w:ilvl w:val="0"/>
                <w:numId w:val="0"/>
              </w:numPr>
              <w:jc w:val="left"/>
              <w:rPr>
                <w:sz w:val="20"/>
                <w:szCs w:val="20"/>
              </w:rPr>
            </w:pPr>
          </w:p>
        </w:tc>
      </w:tr>
      <w:tr w:rsidR="009861AD" w14:paraId="2345E498" w14:textId="77777777" w:rsidTr="009861AD">
        <w:trPr>
          <w:jc w:val="center"/>
        </w:trPr>
        <w:tc>
          <w:tcPr>
            <w:tcW w:w="1350" w:type="dxa"/>
          </w:tcPr>
          <w:p w14:paraId="67564EE2" w14:textId="3A687984"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ROSETTA P 501M</w:t>
            </w:r>
          </w:p>
        </w:tc>
        <w:tc>
          <w:tcPr>
            <w:tcW w:w="1525" w:type="dxa"/>
          </w:tcPr>
          <w:p w14:paraId="751D2637" w14:textId="256411E1"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5211PC00468</w:t>
            </w:r>
          </w:p>
        </w:tc>
        <w:tc>
          <w:tcPr>
            <w:tcW w:w="1360" w:type="dxa"/>
          </w:tcPr>
          <w:p w14:paraId="141F12F7" w14:textId="77777777"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301 West Bay Street, Suite 1300</w:t>
            </w:r>
          </w:p>
          <w:p w14:paraId="7A4FFE51" w14:textId="07274362" w:rsidR="009861AD" w:rsidRPr="0044501D" w:rsidRDefault="009861AD" w:rsidP="009861AD">
            <w:pPr>
              <w:widowControl/>
              <w:adjustRightInd/>
              <w:spacing w:line="240" w:lineRule="auto"/>
              <w:jc w:val="left"/>
              <w:textAlignment w:val="auto"/>
              <w:rPr>
                <w:sz w:val="20"/>
                <w:szCs w:val="20"/>
              </w:rPr>
            </w:pPr>
            <w:r w:rsidRPr="009861AD">
              <w:rPr>
                <w:rFonts w:ascii="Arial" w:hAnsi="Arial" w:cs="Arial"/>
                <w:bCs/>
                <w:sz w:val="20"/>
                <w:szCs w:val="20"/>
              </w:rPr>
              <w:t>Jacksonville, FL 32202</w:t>
            </w:r>
          </w:p>
        </w:tc>
        <w:tc>
          <w:tcPr>
            <w:tcW w:w="720" w:type="dxa"/>
          </w:tcPr>
          <w:p w14:paraId="69DC70D2" w14:textId="77777777" w:rsidR="009861AD" w:rsidRPr="0044501D" w:rsidRDefault="009861AD" w:rsidP="009861AD">
            <w:pPr>
              <w:pStyle w:val="KHeading2"/>
              <w:numPr>
                <w:ilvl w:val="0"/>
                <w:numId w:val="0"/>
              </w:numPr>
              <w:jc w:val="left"/>
              <w:rPr>
                <w:sz w:val="20"/>
                <w:szCs w:val="20"/>
              </w:rPr>
            </w:pPr>
          </w:p>
        </w:tc>
        <w:tc>
          <w:tcPr>
            <w:tcW w:w="720" w:type="dxa"/>
          </w:tcPr>
          <w:p w14:paraId="48E10AD2" w14:textId="77777777" w:rsidR="009861AD" w:rsidRPr="0044501D" w:rsidRDefault="009861AD" w:rsidP="009861AD">
            <w:pPr>
              <w:pStyle w:val="KHeading2"/>
              <w:numPr>
                <w:ilvl w:val="0"/>
                <w:numId w:val="0"/>
              </w:numPr>
              <w:jc w:val="left"/>
              <w:rPr>
                <w:sz w:val="20"/>
                <w:szCs w:val="20"/>
              </w:rPr>
            </w:pPr>
          </w:p>
        </w:tc>
        <w:tc>
          <w:tcPr>
            <w:tcW w:w="720" w:type="dxa"/>
          </w:tcPr>
          <w:p w14:paraId="7C68EEA8" w14:textId="77777777" w:rsidR="009861AD" w:rsidRPr="0044501D" w:rsidRDefault="009861AD" w:rsidP="009861AD">
            <w:pPr>
              <w:pStyle w:val="KHeading2"/>
              <w:numPr>
                <w:ilvl w:val="0"/>
                <w:numId w:val="0"/>
              </w:numPr>
              <w:jc w:val="left"/>
              <w:rPr>
                <w:sz w:val="20"/>
                <w:szCs w:val="20"/>
              </w:rPr>
            </w:pPr>
          </w:p>
        </w:tc>
        <w:tc>
          <w:tcPr>
            <w:tcW w:w="1080" w:type="dxa"/>
          </w:tcPr>
          <w:p w14:paraId="60989119" w14:textId="77777777" w:rsidR="009861AD" w:rsidRPr="0044501D" w:rsidRDefault="009861AD" w:rsidP="009861AD">
            <w:pPr>
              <w:pStyle w:val="KHeading2"/>
              <w:numPr>
                <w:ilvl w:val="0"/>
                <w:numId w:val="0"/>
              </w:numPr>
              <w:jc w:val="left"/>
              <w:rPr>
                <w:sz w:val="20"/>
                <w:szCs w:val="20"/>
              </w:rPr>
            </w:pPr>
          </w:p>
        </w:tc>
        <w:tc>
          <w:tcPr>
            <w:tcW w:w="1080" w:type="dxa"/>
          </w:tcPr>
          <w:p w14:paraId="580365D7" w14:textId="77777777" w:rsidR="009861AD" w:rsidRPr="0044501D" w:rsidRDefault="009861AD" w:rsidP="009861AD">
            <w:pPr>
              <w:pStyle w:val="KHeading2"/>
              <w:numPr>
                <w:ilvl w:val="0"/>
                <w:numId w:val="0"/>
              </w:numPr>
              <w:jc w:val="left"/>
              <w:rPr>
                <w:sz w:val="20"/>
                <w:szCs w:val="20"/>
              </w:rPr>
            </w:pPr>
          </w:p>
        </w:tc>
        <w:tc>
          <w:tcPr>
            <w:tcW w:w="1080" w:type="dxa"/>
          </w:tcPr>
          <w:p w14:paraId="1566C951" w14:textId="77777777" w:rsidR="009861AD" w:rsidRPr="0044501D" w:rsidRDefault="009861AD" w:rsidP="009861AD">
            <w:pPr>
              <w:pStyle w:val="KHeading2"/>
              <w:numPr>
                <w:ilvl w:val="0"/>
                <w:numId w:val="0"/>
              </w:numPr>
              <w:jc w:val="left"/>
              <w:rPr>
                <w:sz w:val="20"/>
                <w:szCs w:val="20"/>
              </w:rPr>
            </w:pPr>
          </w:p>
        </w:tc>
      </w:tr>
      <w:tr w:rsidR="009861AD" w14:paraId="4FE6A1EE" w14:textId="77777777" w:rsidTr="00E14871">
        <w:trPr>
          <w:jc w:val="center"/>
        </w:trPr>
        <w:tc>
          <w:tcPr>
            <w:tcW w:w="4235" w:type="dxa"/>
            <w:gridSpan w:val="3"/>
          </w:tcPr>
          <w:p w14:paraId="65B286E4" w14:textId="1F6ED267" w:rsidR="009861AD" w:rsidRPr="0044501D" w:rsidRDefault="009861AD" w:rsidP="009861AD">
            <w:pPr>
              <w:pStyle w:val="KHeading2"/>
              <w:numPr>
                <w:ilvl w:val="0"/>
                <w:numId w:val="0"/>
              </w:numPr>
              <w:jc w:val="center"/>
              <w:rPr>
                <w:sz w:val="20"/>
                <w:szCs w:val="20"/>
              </w:rPr>
            </w:pPr>
            <w:r>
              <w:rPr>
                <w:sz w:val="20"/>
                <w:szCs w:val="20"/>
              </w:rPr>
              <w:t xml:space="preserve">Overage Cost: </w:t>
            </w:r>
            <w:r w:rsidRPr="0044501D">
              <w:rPr>
                <w:sz w:val="20"/>
                <w:szCs w:val="20"/>
              </w:rPr>
              <w:t>Amount per double click over 50,000</w:t>
            </w:r>
          </w:p>
        </w:tc>
        <w:tc>
          <w:tcPr>
            <w:tcW w:w="720" w:type="dxa"/>
          </w:tcPr>
          <w:p w14:paraId="0CEDCD58" w14:textId="77777777" w:rsidR="009861AD" w:rsidRPr="0044501D" w:rsidRDefault="009861AD" w:rsidP="009861AD">
            <w:pPr>
              <w:pStyle w:val="KHeading2"/>
              <w:numPr>
                <w:ilvl w:val="0"/>
                <w:numId w:val="0"/>
              </w:numPr>
              <w:jc w:val="left"/>
              <w:rPr>
                <w:sz w:val="20"/>
                <w:szCs w:val="20"/>
              </w:rPr>
            </w:pPr>
          </w:p>
        </w:tc>
        <w:tc>
          <w:tcPr>
            <w:tcW w:w="720" w:type="dxa"/>
          </w:tcPr>
          <w:p w14:paraId="19EB6DC1" w14:textId="77777777" w:rsidR="009861AD" w:rsidRPr="0044501D" w:rsidRDefault="009861AD" w:rsidP="009861AD">
            <w:pPr>
              <w:pStyle w:val="KHeading2"/>
              <w:numPr>
                <w:ilvl w:val="0"/>
                <w:numId w:val="0"/>
              </w:numPr>
              <w:jc w:val="left"/>
              <w:rPr>
                <w:sz w:val="20"/>
                <w:szCs w:val="20"/>
              </w:rPr>
            </w:pPr>
          </w:p>
        </w:tc>
        <w:tc>
          <w:tcPr>
            <w:tcW w:w="720" w:type="dxa"/>
          </w:tcPr>
          <w:p w14:paraId="77DE5535" w14:textId="77777777" w:rsidR="009861AD" w:rsidRPr="0044501D" w:rsidRDefault="009861AD" w:rsidP="009861AD">
            <w:pPr>
              <w:pStyle w:val="KHeading2"/>
              <w:numPr>
                <w:ilvl w:val="0"/>
                <w:numId w:val="0"/>
              </w:numPr>
              <w:jc w:val="left"/>
              <w:rPr>
                <w:sz w:val="20"/>
                <w:szCs w:val="20"/>
              </w:rPr>
            </w:pPr>
          </w:p>
        </w:tc>
        <w:tc>
          <w:tcPr>
            <w:tcW w:w="1080" w:type="dxa"/>
          </w:tcPr>
          <w:p w14:paraId="2777D920" w14:textId="77777777" w:rsidR="009861AD" w:rsidRPr="0044501D" w:rsidRDefault="009861AD" w:rsidP="009861AD">
            <w:pPr>
              <w:pStyle w:val="KHeading2"/>
              <w:numPr>
                <w:ilvl w:val="0"/>
                <w:numId w:val="0"/>
              </w:numPr>
              <w:jc w:val="left"/>
              <w:rPr>
                <w:sz w:val="20"/>
                <w:szCs w:val="20"/>
              </w:rPr>
            </w:pPr>
          </w:p>
        </w:tc>
        <w:tc>
          <w:tcPr>
            <w:tcW w:w="1080" w:type="dxa"/>
          </w:tcPr>
          <w:p w14:paraId="3BD178AB" w14:textId="77777777" w:rsidR="009861AD" w:rsidRPr="0044501D" w:rsidRDefault="009861AD" w:rsidP="009861AD">
            <w:pPr>
              <w:pStyle w:val="KHeading2"/>
              <w:numPr>
                <w:ilvl w:val="0"/>
                <w:numId w:val="0"/>
              </w:numPr>
              <w:jc w:val="left"/>
              <w:rPr>
                <w:sz w:val="20"/>
                <w:szCs w:val="20"/>
              </w:rPr>
            </w:pPr>
          </w:p>
        </w:tc>
        <w:tc>
          <w:tcPr>
            <w:tcW w:w="1080" w:type="dxa"/>
          </w:tcPr>
          <w:p w14:paraId="6E0EFC01" w14:textId="77777777" w:rsidR="009861AD" w:rsidRPr="0044501D" w:rsidRDefault="009861AD" w:rsidP="009861AD">
            <w:pPr>
              <w:pStyle w:val="KHeading2"/>
              <w:numPr>
                <w:ilvl w:val="0"/>
                <w:numId w:val="0"/>
              </w:numPr>
              <w:jc w:val="left"/>
              <w:rPr>
                <w:sz w:val="20"/>
                <w:szCs w:val="20"/>
              </w:rPr>
            </w:pPr>
          </w:p>
        </w:tc>
      </w:tr>
      <w:tr w:rsidR="009861AD" w14:paraId="08E39160" w14:textId="77777777" w:rsidTr="009861AD">
        <w:trPr>
          <w:jc w:val="center"/>
        </w:trPr>
        <w:tc>
          <w:tcPr>
            <w:tcW w:w="1350" w:type="dxa"/>
          </w:tcPr>
          <w:p w14:paraId="08E908E3" w14:textId="5FFEB172"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ROSETTA SP8400DN</w:t>
            </w:r>
          </w:p>
        </w:tc>
        <w:tc>
          <w:tcPr>
            <w:tcW w:w="1525" w:type="dxa"/>
          </w:tcPr>
          <w:p w14:paraId="6F06A7A8" w14:textId="3B87A71F" w:rsidR="009861AD" w:rsidRPr="009861AD" w:rsidRDefault="009861AD" w:rsidP="009861AD">
            <w:pPr>
              <w:widowControl/>
              <w:adjustRightInd/>
              <w:spacing w:line="240" w:lineRule="auto"/>
              <w:jc w:val="left"/>
              <w:textAlignment w:val="auto"/>
              <w:rPr>
                <w:rFonts w:ascii="Arial" w:hAnsi="Arial" w:cs="Arial"/>
                <w:bCs/>
                <w:sz w:val="20"/>
                <w:szCs w:val="20"/>
              </w:rPr>
            </w:pPr>
            <w:r w:rsidRPr="009861AD">
              <w:rPr>
                <w:rFonts w:ascii="Arial" w:hAnsi="Arial" w:cs="Arial"/>
                <w:bCs/>
                <w:sz w:val="20"/>
                <w:szCs w:val="20"/>
              </w:rPr>
              <w:t>Y878R700054</w:t>
            </w:r>
          </w:p>
        </w:tc>
        <w:tc>
          <w:tcPr>
            <w:tcW w:w="1360" w:type="dxa"/>
          </w:tcPr>
          <w:p w14:paraId="22B4CF6C" w14:textId="7D78A892" w:rsidR="009861AD" w:rsidRPr="0044501D" w:rsidRDefault="009861AD" w:rsidP="009861AD">
            <w:pPr>
              <w:widowControl/>
              <w:adjustRightInd/>
              <w:spacing w:line="240" w:lineRule="auto"/>
              <w:jc w:val="left"/>
              <w:textAlignment w:val="auto"/>
              <w:rPr>
                <w:sz w:val="20"/>
                <w:szCs w:val="20"/>
              </w:rPr>
            </w:pPr>
            <w:r w:rsidRPr="009861AD">
              <w:rPr>
                <w:rFonts w:ascii="Arial" w:hAnsi="Arial" w:cs="Arial"/>
                <w:bCs/>
                <w:sz w:val="20"/>
                <w:szCs w:val="20"/>
              </w:rPr>
              <w:t>2101 Maryland Circle, Tallahassee, FL 32303</w:t>
            </w:r>
          </w:p>
        </w:tc>
        <w:tc>
          <w:tcPr>
            <w:tcW w:w="720" w:type="dxa"/>
          </w:tcPr>
          <w:p w14:paraId="0D8631E3" w14:textId="31569594" w:rsidR="009861AD" w:rsidRPr="0044501D" w:rsidRDefault="009861AD" w:rsidP="009861AD">
            <w:pPr>
              <w:pStyle w:val="KHeading2"/>
              <w:numPr>
                <w:ilvl w:val="0"/>
                <w:numId w:val="0"/>
              </w:numPr>
              <w:jc w:val="left"/>
              <w:rPr>
                <w:sz w:val="20"/>
                <w:szCs w:val="20"/>
              </w:rPr>
            </w:pPr>
          </w:p>
        </w:tc>
        <w:tc>
          <w:tcPr>
            <w:tcW w:w="720" w:type="dxa"/>
          </w:tcPr>
          <w:p w14:paraId="70348829" w14:textId="7A293EEA" w:rsidR="009861AD" w:rsidRPr="0044501D" w:rsidRDefault="009861AD" w:rsidP="009861AD">
            <w:pPr>
              <w:pStyle w:val="KHeading2"/>
              <w:numPr>
                <w:ilvl w:val="0"/>
                <w:numId w:val="0"/>
              </w:numPr>
              <w:jc w:val="left"/>
              <w:rPr>
                <w:sz w:val="20"/>
                <w:szCs w:val="20"/>
              </w:rPr>
            </w:pPr>
          </w:p>
        </w:tc>
        <w:tc>
          <w:tcPr>
            <w:tcW w:w="720" w:type="dxa"/>
          </w:tcPr>
          <w:p w14:paraId="2A587DAA" w14:textId="77777777" w:rsidR="009861AD" w:rsidRPr="0044501D" w:rsidRDefault="009861AD" w:rsidP="009861AD">
            <w:pPr>
              <w:pStyle w:val="KHeading2"/>
              <w:numPr>
                <w:ilvl w:val="0"/>
                <w:numId w:val="0"/>
              </w:numPr>
              <w:jc w:val="left"/>
              <w:rPr>
                <w:sz w:val="20"/>
                <w:szCs w:val="20"/>
              </w:rPr>
            </w:pPr>
          </w:p>
        </w:tc>
        <w:tc>
          <w:tcPr>
            <w:tcW w:w="1080" w:type="dxa"/>
          </w:tcPr>
          <w:p w14:paraId="1FD9A479" w14:textId="77777777" w:rsidR="009861AD" w:rsidRPr="0044501D" w:rsidRDefault="009861AD" w:rsidP="009861AD">
            <w:pPr>
              <w:pStyle w:val="KHeading2"/>
              <w:numPr>
                <w:ilvl w:val="0"/>
                <w:numId w:val="0"/>
              </w:numPr>
              <w:jc w:val="left"/>
              <w:rPr>
                <w:sz w:val="20"/>
                <w:szCs w:val="20"/>
              </w:rPr>
            </w:pPr>
          </w:p>
        </w:tc>
        <w:tc>
          <w:tcPr>
            <w:tcW w:w="1080" w:type="dxa"/>
          </w:tcPr>
          <w:p w14:paraId="7B8774E5" w14:textId="77777777" w:rsidR="009861AD" w:rsidRPr="0044501D" w:rsidRDefault="009861AD" w:rsidP="009861AD">
            <w:pPr>
              <w:pStyle w:val="KHeading2"/>
              <w:numPr>
                <w:ilvl w:val="0"/>
                <w:numId w:val="0"/>
              </w:numPr>
              <w:jc w:val="left"/>
              <w:rPr>
                <w:sz w:val="20"/>
                <w:szCs w:val="20"/>
              </w:rPr>
            </w:pPr>
          </w:p>
        </w:tc>
        <w:tc>
          <w:tcPr>
            <w:tcW w:w="1080" w:type="dxa"/>
          </w:tcPr>
          <w:p w14:paraId="169C6536" w14:textId="77777777" w:rsidR="009861AD" w:rsidRPr="0044501D" w:rsidRDefault="009861AD" w:rsidP="009861AD">
            <w:pPr>
              <w:pStyle w:val="KHeading2"/>
              <w:numPr>
                <w:ilvl w:val="0"/>
                <w:numId w:val="0"/>
              </w:numPr>
              <w:jc w:val="left"/>
              <w:rPr>
                <w:sz w:val="20"/>
                <w:szCs w:val="20"/>
              </w:rPr>
            </w:pPr>
          </w:p>
        </w:tc>
      </w:tr>
      <w:tr w:rsidR="009861AD" w14:paraId="1973164C" w14:textId="77777777" w:rsidTr="00E14871">
        <w:trPr>
          <w:jc w:val="center"/>
        </w:trPr>
        <w:tc>
          <w:tcPr>
            <w:tcW w:w="4235" w:type="dxa"/>
            <w:gridSpan w:val="3"/>
          </w:tcPr>
          <w:p w14:paraId="2C5056A2" w14:textId="38D83A68" w:rsidR="009861AD" w:rsidRPr="0044501D" w:rsidRDefault="009861AD" w:rsidP="009861AD">
            <w:pPr>
              <w:pStyle w:val="KHeading2"/>
              <w:numPr>
                <w:ilvl w:val="0"/>
                <w:numId w:val="0"/>
              </w:numPr>
              <w:jc w:val="center"/>
              <w:rPr>
                <w:sz w:val="20"/>
                <w:szCs w:val="20"/>
              </w:rPr>
            </w:pPr>
            <w:r>
              <w:rPr>
                <w:sz w:val="20"/>
                <w:szCs w:val="20"/>
              </w:rPr>
              <w:t xml:space="preserve">Overage Cost: </w:t>
            </w:r>
            <w:r w:rsidRPr="0044501D">
              <w:rPr>
                <w:sz w:val="20"/>
                <w:szCs w:val="20"/>
              </w:rPr>
              <w:t>Amount per double click over 50,000</w:t>
            </w:r>
          </w:p>
        </w:tc>
        <w:tc>
          <w:tcPr>
            <w:tcW w:w="720" w:type="dxa"/>
          </w:tcPr>
          <w:p w14:paraId="21185E18" w14:textId="77777777" w:rsidR="009861AD" w:rsidRPr="0044501D" w:rsidRDefault="009861AD" w:rsidP="009861AD">
            <w:pPr>
              <w:pStyle w:val="KHeading2"/>
              <w:numPr>
                <w:ilvl w:val="0"/>
                <w:numId w:val="0"/>
              </w:numPr>
              <w:jc w:val="left"/>
              <w:rPr>
                <w:sz w:val="20"/>
                <w:szCs w:val="20"/>
              </w:rPr>
            </w:pPr>
          </w:p>
        </w:tc>
        <w:tc>
          <w:tcPr>
            <w:tcW w:w="720" w:type="dxa"/>
          </w:tcPr>
          <w:p w14:paraId="3EDE7F02" w14:textId="77777777" w:rsidR="009861AD" w:rsidRPr="0044501D" w:rsidRDefault="009861AD" w:rsidP="009861AD">
            <w:pPr>
              <w:pStyle w:val="KHeading2"/>
              <w:numPr>
                <w:ilvl w:val="0"/>
                <w:numId w:val="0"/>
              </w:numPr>
              <w:jc w:val="left"/>
              <w:rPr>
                <w:sz w:val="20"/>
                <w:szCs w:val="20"/>
              </w:rPr>
            </w:pPr>
          </w:p>
        </w:tc>
        <w:tc>
          <w:tcPr>
            <w:tcW w:w="720" w:type="dxa"/>
          </w:tcPr>
          <w:p w14:paraId="78BB43B8" w14:textId="77777777" w:rsidR="009861AD" w:rsidRPr="0044501D" w:rsidRDefault="009861AD" w:rsidP="009861AD">
            <w:pPr>
              <w:pStyle w:val="KHeading2"/>
              <w:numPr>
                <w:ilvl w:val="0"/>
                <w:numId w:val="0"/>
              </w:numPr>
              <w:jc w:val="left"/>
              <w:rPr>
                <w:sz w:val="20"/>
                <w:szCs w:val="20"/>
              </w:rPr>
            </w:pPr>
          </w:p>
        </w:tc>
        <w:tc>
          <w:tcPr>
            <w:tcW w:w="1080" w:type="dxa"/>
          </w:tcPr>
          <w:p w14:paraId="4321DB6F" w14:textId="77777777" w:rsidR="009861AD" w:rsidRPr="0044501D" w:rsidRDefault="009861AD" w:rsidP="009861AD">
            <w:pPr>
              <w:pStyle w:val="KHeading2"/>
              <w:numPr>
                <w:ilvl w:val="0"/>
                <w:numId w:val="0"/>
              </w:numPr>
              <w:jc w:val="left"/>
              <w:rPr>
                <w:sz w:val="20"/>
                <w:szCs w:val="20"/>
              </w:rPr>
            </w:pPr>
          </w:p>
        </w:tc>
        <w:tc>
          <w:tcPr>
            <w:tcW w:w="1080" w:type="dxa"/>
          </w:tcPr>
          <w:p w14:paraId="04EC1941" w14:textId="77777777" w:rsidR="009861AD" w:rsidRPr="0044501D" w:rsidRDefault="009861AD" w:rsidP="009861AD">
            <w:pPr>
              <w:pStyle w:val="KHeading2"/>
              <w:numPr>
                <w:ilvl w:val="0"/>
                <w:numId w:val="0"/>
              </w:numPr>
              <w:jc w:val="left"/>
              <w:rPr>
                <w:sz w:val="20"/>
                <w:szCs w:val="20"/>
              </w:rPr>
            </w:pPr>
          </w:p>
        </w:tc>
        <w:tc>
          <w:tcPr>
            <w:tcW w:w="1080" w:type="dxa"/>
          </w:tcPr>
          <w:p w14:paraId="7091839D" w14:textId="77777777" w:rsidR="009861AD" w:rsidRPr="0044501D" w:rsidRDefault="009861AD" w:rsidP="009861AD">
            <w:pPr>
              <w:pStyle w:val="KHeading2"/>
              <w:numPr>
                <w:ilvl w:val="0"/>
                <w:numId w:val="0"/>
              </w:numPr>
              <w:jc w:val="left"/>
              <w:rPr>
                <w:sz w:val="20"/>
                <w:szCs w:val="20"/>
              </w:rPr>
            </w:pPr>
          </w:p>
        </w:tc>
      </w:tr>
      <w:tr w:rsidR="009861AD" w14:paraId="26AE6BF3" w14:textId="77777777" w:rsidTr="00E14871">
        <w:trPr>
          <w:jc w:val="center"/>
        </w:trPr>
        <w:tc>
          <w:tcPr>
            <w:tcW w:w="4235" w:type="dxa"/>
            <w:gridSpan w:val="3"/>
          </w:tcPr>
          <w:p w14:paraId="639463CA" w14:textId="4BE68111" w:rsidR="009861AD" w:rsidRPr="0044501D" w:rsidRDefault="009861AD" w:rsidP="009861AD">
            <w:pPr>
              <w:pStyle w:val="KHeading2"/>
              <w:numPr>
                <w:ilvl w:val="0"/>
                <w:numId w:val="0"/>
              </w:numPr>
              <w:jc w:val="left"/>
              <w:rPr>
                <w:sz w:val="20"/>
                <w:szCs w:val="20"/>
              </w:rPr>
            </w:pPr>
            <w:r>
              <w:rPr>
                <w:sz w:val="20"/>
                <w:szCs w:val="20"/>
              </w:rPr>
              <w:t>MICR Toner</w:t>
            </w:r>
            <w:r w:rsidR="00477068">
              <w:rPr>
                <w:sz w:val="20"/>
                <w:szCs w:val="20"/>
              </w:rPr>
              <w:t xml:space="preserve"> </w:t>
            </w:r>
            <w:r w:rsidR="009F2BD0">
              <w:rPr>
                <w:sz w:val="20"/>
                <w:szCs w:val="20"/>
              </w:rPr>
              <w:t>compatible with Citizens’ MICR Printers</w:t>
            </w:r>
          </w:p>
        </w:tc>
        <w:tc>
          <w:tcPr>
            <w:tcW w:w="720" w:type="dxa"/>
          </w:tcPr>
          <w:p w14:paraId="4EC5346B" w14:textId="77777777" w:rsidR="009861AD" w:rsidRPr="0044501D" w:rsidRDefault="009861AD" w:rsidP="009861AD">
            <w:pPr>
              <w:pStyle w:val="KHeading2"/>
              <w:numPr>
                <w:ilvl w:val="0"/>
                <w:numId w:val="0"/>
              </w:numPr>
              <w:jc w:val="left"/>
              <w:rPr>
                <w:sz w:val="20"/>
                <w:szCs w:val="20"/>
              </w:rPr>
            </w:pPr>
          </w:p>
        </w:tc>
        <w:tc>
          <w:tcPr>
            <w:tcW w:w="720" w:type="dxa"/>
          </w:tcPr>
          <w:p w14:paraId="7E78C642" w14:textId="77777777" w:rsidR="009861AD" w:rsidRPr="0044501D" w:rsidRDefault="009861AD" w:rsidP="009861AD">
            <w:pPr>
              <w:pStyle w:val="KHeading2"/>
              <w:numPr>
                <w:ilvl w:val="0"/>
                <w:numId w:val="0"/>
              </w:numPr>
              <w:jc w:val="left"/>
              <w:rPr>
                <w:sz w:val="20"/>
                <w:szCs w:val="20"/>
              </w:rPr>
            </w:pPr>
          </w:p>
        </w:tc>
        <w:tc>
          <w:tcPr>
            <w:tcW w:w="720" w:type="dxa"/>
          </w:tcPr>
          <w:p w14:paraId="7A5AC690" w14:textId="77777777" w:rsidR="009861AD" w:rsidRPr="0044501D" w:rsidRDefault="009861AD" w:rsidP="009861AD">
            <w:pPr>
              <w:pStyle w:val="KHeading2"/>
              <w:numPr>
                <w:ilvl w:val="0"/>
                <w:numId w:val="0"/>
              </w:numPr>
              <w:jc w:val="left"/>
              <w:rPr>
                <w:sz w:val="20"/>
                <w:szCs w:val="20"/>
              </w:rPr>
            </w:pPr>
          </w:p>
        </w:tc>
        <w:tc>
          <w:tcPr>
            <w:tcW w:w="1080" w:type="dxa"/>
          </w:tcPr>
          <w:p w14:paraId="0780746F" w14:textId="77777777" w:rsidR="009861AD" w:rsidRDefault="009861AD" w:rsidP="009861AD">
            <w:pPr>
              <w:pStyle w:val="KHeading2"/>
              <w:numPr>
                <w:ilvl w:val="0"/>
                <w:numId w:val="0"/>
              </w:numPr>
              <w:jc w:val="left"/>
              <w:rPr>
                <w:rStyle w:val="CommentReference"/>
                <w:rFonts w:ascii="Times New Roman" w:hAnsi="Times New Roman" w:cs="Times New Roman"/>
                <w:bCs w:val="0"/>
              </w:rPr>
            </w:pPr>
          </w:p>
        </w:tc>
        <w:tc>
          <w:tcPr>
            <w:tcW w:w="1080" w:type="dxa"/>
          </w:tcPr>
          <w:p w14:paraId="65FF6C03" w14:textId="77777777" w:rsidR="009861AD" w:rsidRPr="0044501D" w:rsidRDefault="009861AD" w:rsidP="009861AD">
            <w:pPr>
              <w:pStyle w:val="KHeading2"/>
              <w:numPr>
                <w:ilvl w:val="0"/>
                <w:numId w:val="0"/>
              </w:numPr>
              <w:jc w:val="left"/>
              <w:rPr>
                <w:sz w:val="20"/>
                <w:szCs w:val="20"/>
              </w:rPr>
            </w:pPr>
          </w:p>
        </w:tc>
        <w:tc>
          <w:tcPr>
            <w:tcW w:w="1080" w:type="dxa"/>
          </w:tcPr>
          <w:p w14:paraId="12DF96F2" w14:textId="77777777" w:rsidR="009861AD" w:rsidRPr="0044501D" w:rsidRDefault="009861AD" w:rsidP="009861AD">
            <w:pPr>
              <w:pStyle w:val="KHeading2"/>
              <w:numPr>
                <w:ilvl w:val="0"/>
                <w:numId w:val="0"/>
              </w:numPr>
              <w:jc w:val="left"/>
              <w:rPr>
                <w:sz w:val="20"/>
                <w:szCs w:val="20"/>
              </w:rPr>
            </w:pPr>
          </w:p>
        </w:tc>
      </w:tr>
    </w:tbl>
    <w:p w14:paraId="7796B54F" w14:textId="5E79A23B" w:rsidR="005E4B00" w:rsidRPr="00C33EC9" w:rsidRDefault="005E4B00" w:rsidP="005E4B00">
      <w:pPr>
        <w:pStyle w:val="KHeading2"/>
        <w:ind w:left="1440" w:hanging="720"/>
        <w:rPr>
          <w:color w:val="000000"/>
        </w:rPr>
      </w:pPr>
      <w:r w:rsidRPr="00C33EC9">
        <w:rPr>
          <w:u w:val="single"/>
        </w:rPr>
        <w:t>Invoices</w:t>
      </w:r>
      <w:r w:rsidRPr="006B5EFA">
        <w:t>.</w:t>
      </w:r>
      <w:r w:rsidRPr="004011DF">
        <w:t xml:space="preserve"> </w:t>
      </w:r>
      <w:r w:rsidRPr="00C33EC9">
        <w:t xml:space="preserve">Vendor must </w:t>
      </w:r>
      <w:r>
        <w:t xml:space="preserve">timely </w:t>
      </w:r>
      <w:r w:rsidRPr="00C33EC9">
        <w:t xml:space="preserve">submit all requests for compensation for Services or expenses, where permitted, in sufficient detail for a pre- or post-audit. </w:t>
      </w:r>
      <w:r>
        <w:t xml:space="preserve">The compensation request must include a unique invoice number, be in US dollars, </w:t>
      </w:r>
      <w:r w:rsidRPr="00C33EC9">
        <w:rPr>
          <w:color w:val="000000"/>
        </w:rPr>
        <w:t>legible, page-numbered</w:t>
      </w:r>
      <w:r>
        <w:rPr>
          <w:color w:val="000000"/>
        </w:rPr>
        <w:t>,</w:t>
      </w:r>
      <w:r w:rsidRPr="00C33EC9">
        <w:rPr>
          <w:color w:val="000000"/>
        </w:rPr>
        <w:t xml:space="preserve"> signed, </w:t>
      </w:r>
      <w:r>
        <w:rPr>
          <w:color w:val="000000"/>
        </w:rPr>
        <w:t xml:space="preserve">and </w:t>
      </w:r>
      <w:r w:rsidRPr="00C33EC9">
        <w:rPr>
          <w:color w:val="000000"/>
        </w:rPr>
        <w:t>dated</w:t>
      </w:r>
      <w:r>
        <w:rPr>
          <w:color w:val="000000"/>
        </w:rPr>
        <w:t xml:space="preserve">. </w:t>
      </w:r>
      <w:r w:rsidRPr="00C33EC9">
        <w:t xml:space="preserve">Vendor shall submit </w:t>
      </w:r>
      <w:r w:rsidRPr="00C33EC9">
        <w:rPr>
          <w:color w:val="000000"/>
        </w:rPr>
        <w:t>the original invoice to Citizens’ Contract Manager or designee</w:t>
      </w:r>
      <w:r>
        <w:rPr>
          <w:color w:val="000000"/>
        </w:rPr>
        <w:t xml:space="preserve"> as identified in section </w:t>
      </w:r>
      <w:r w:rsidR="004B7654">
        <w:rPr>
          <w:color w:val="000000"/>
        </w:rPr>
        <w:t>1</w:t>
      </w:r>
      <w:r w:rsidR="005949B3">
        <w:rPr>
          <w:color w:val="000000"/>
        </w:rPr>
        <w:t>2</w:t>
      </w:r>
      <w:r>
        <w:rPr>
          <w:color w:val="000000"/>
        </w:rPr>
        <w:t xml:space="preserve">.2. Contract Managers. </w:t>
      </w:r>
      <w:r w:rsidRPr="00485B35">
        <w:t xml:space="preserve">All </w:t>
      </w:r>
      <w:r>
        <w:t xml:space="preserve">late payment inquires </w:t>
      </w:r>
      <w:r w:rsidRPr="00C33EC9">
        <w:t xml:space="preserve">must be submitted to </w:t>
      </w:r>
      <w:r>
        <w:t xml:space="preserve">the attention of </w:t>
      </w:r>
      <w:r w:rsidRPr="00C33EC9">
        <w:t xml:space="preserve">Citizens’ Accounts Payable department at </w:t>
      </w:r>
      <w:hyperlink r:id="rId11" w:history="1">
        <w:r w:rsidRPr="000A43DE">
          <w:rPr>
            <w:rStyle w:val="Hyperlink"/>
          </w:rPr>
          <w:t>AccountsPayable@citizensfla.com</w:t>
        </w:r>
      </w:hyperlink>
      <w:r>
        <w:t xml:space="preserve"> or </w:t>
      </w:r>
      <w:r w:rsidRPr="00C33EC9">
        <w:t xml:space="preserve">Post Office Box 10749, Tallahassee, Florida 32302-2749 </w:t>
      </w:r>
      <w:r w:rsidRPr="003E6A69">
        <w:t xml:space="preserve">on a monthly basis and must include, at a minimum, the following: (a) purchase order number/Agreement number/task order number, if applicable; (b) Vendor’s name, address, phone number (and remittance address, if different); (c) Vendor’s Federal Employment Identification Number; (d) Citizens’ Contract Manager’s name; (e) invoice date; (f) Services period; (g) taxes listed separately, if </w:t>
      </w:r>
      <w:r w:rsidRPr="00E95E04">
        <w:t xml:space="preserve">applicable (see </w:t>
      </w:r>
      <w:r w:rsidRPr="005949B3">
        <w:t xml:space="preserve">Section </w:t>
      </w:r>
      <w:r w:rsidR="005949B3" w:rsidRPr="005949B3">
        <w:t>9</w:t>
      </w:r>
      <w:r w:rsidR="00E95E04" w:rsidRPr="005949B3">
        <w:t>.8</w:t>
      </w:r>
      <w:r w:rsidRPr="005949B3">
        <w:t>.);</w:t>
      </w:r>
      <w:r w:rsidRPr="003E6A69">
        <w:t xml:space="preserve"> and, (h) itemized Services for which compensation is being sought. </w:t>
      </w:r>
    </w:p>
    <w:p w14:paraId="6BB6A191" w14:textId="77777777" w:rsidR="005E4B00" w:rsidRPr="00AC4687"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586119E8" w14:textId="77777777" w:rsidR="005E4B00" w:rsidRPr="00C33EC9"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202BB838" w14:textId="77777777" w:rsidR="005E4B00" w:rsidRPr="00C33EC9"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4846F524" w14:textId="77777777" w:rsidR="005E4B00" w:rsidRPr="00C33EC9"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653733C7" w14:textId="77777777" w:rsidR="005E4B00" w:rsidRPr="00C33EC9"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11CA40FF" w14:textId="77777777" w:rsidR="005E4B00" w:rsidRPr="00C33EC9"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172C391A" w14:textId="77777777" w:rsidR="005E4B00" w:rsidRPr="00C33EC9"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16975258" w14:textId="77777777" w:rsidR="005E4B00" w:rsidRPr="00C33EC9" w:rsidRDefault="005E4B00" w:rsidP="005E4B00">
      <w:pPr>
        <w:pStyle w:val="ListParagraph"/>
        <w:numPr>
          <w:ilvl w:val="0"/>
          <w:numId w:val="7"/>
        </w:numPr>
        <w:tabs>
          <w:tab w:val="left" w:pos="1440"/>
        </w:tabs>
        <w:spacing w:before="120" w:after="120" w:line="240" w:lineRule="auto"/>
        <w:contextualSpacing w:val="0"/>
        <w:rPr>
          <w:rFonts w:ascii="Arial" w:hAnsi="Arial" w:cs="Arial"/>
          <w:bCs/>
          <w:vanish/>
          <w:sz w:val="22"/>
          <w:szCs w:val="22"/>
          <w:u w:val="single"/>
        </w:rPr>
      </w:pPr>
    </w:p>
    <w:p w14:paraId="7EDEC15C" w14:textId="5B92EE7B" w:rsidR="005E4B00" w:rsidRPr="004106BB" w:rsidRDefault="005E4B00" w:rsidP="003E6A69">
      <w:pPr>
        <w:pStyle w:val="KHeading2"/>
        <w:ind w:left="1440" w:hanging="720"/>
      </w:pPr>
      <w:r w:rsidRPr="004023DE">
        <w:rPr>
          <w:u w:val="single"/>
        </w:rPr>
        <w:t>Payment Processing</w:t>
      </w:r>
      <w:r w:rsidRPr="00FB197D">
        <w:t xml:space="preserve">. </w:t>
      </w:r>
      <w:r w:rsidRPr="00C33EC9">
        <w:t xml:space="preserve">Citizens may require any other information from Vendor that Citizens deems necessary to verify any compensation request placed under this </w:t>
      </w:r>
      <w:r>
        <w:t>Agreement and Vendor agrees that it will provide such information as reasonably requested by Citizens</w:t>
      </w:r>
      <w:r w:rsidRPr="00C33EC9">
        <w:t>.</w:t>
      </w:r>
      <w:r>
        <w:t xml:space="preserve"> Payment shall be due net thirty (30) </w:t>
      </w:r>
      <w:r w:rsidRPr="00B768A6">
        <w:t>calendar</w:t>
      </w:r>
      <w:r>
        <w:t xml:space="preserve"> days of Citizens’ actual receipt of a complete and undisputed invoice. Where a submitted invoice is incomplete, such as not containing the information described in this Section, Citizens will return the incomplete invoice to Vendor for correction within thirty (30) </w:t>
      </w:r>
      <w:r w:rsidRPr="00B768A6">
        <w:t>calendar</w:t>
      </w:r>
      <w:r>
        <w:t xml:space="preserve"> days of Citizens’ actual receipt of such invoice. Where Citizens reasonably disputes any part of a complete invoice, such as the amount of the compensation request, Citizens shall pay any undisputed portion of the invoiced amount within (30) </w:t>
      </w:r>
      <w:r w:rsidRPr="00B768A6">
        <w:t>calendar</w:t>
      </w:r>
      <w:r>
        <w:t xml:space="preserve"> days of Citizens’ actual receipt of the complete invoice and will describe the basis for the disputed portion of the invoiced amount. Where Vendor disagrees with </w:t>
      </w:r>
      <w:proofErr w:type="gramStart"/>
      <w:r>
        <w:t>Citizens</w:t>
      </w:r>
      <w:proofErr w:type="gramEnd"/>
      <w:r>
        <w:t xml:space="preserve"> dispute of any invoice, the Parties shall seek to resolve the dispute in accordance with the </w:t>
      </w:r>
      <w:r w:rsidRPr="00AA4998">
        <w:t>Dispute Resolution Process</w:t>
      </w:r>
      <w:r>
        <w:t xml:space="preserve"> further described in this Agreement. In no case shall Citizens be subject to late payment </w:t>
      </w:r>
      <w:r>
        <w:lastRenderedPageBreak/>
        <w:t>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7290FC69" w14:textId="09CFAAF9" w:rsidR="00FB197D" w:rsidRPr="003E6A69" w:rsidRDefault="00FB197D" w:rsidP="006510D9">
      <w:pPr>
        <w:pStyle w:val="KHeading2"/>
        <w:ind w:left="1440" w:hanging="720"/>
        <w:rPr>
          <w:color w:val="FF0000"/>
        </w:rPr>
      </w:pPr>
      <w:r w:rsidRPr="00076A18">
        <w:rPr>
          <w:u w:val="single"/>
        </w:rPr>
        <w:t>Travel-related Expenses</w:t>
      </w:r>
      <w:r w:rsidRPr="000C6664">
        <w:t>.</w:t>
      </w:r>
      <w:r>
        <w:t xml:space="preserve"> </w:t>
      </w:r>
      <w:r w:rsidRPr="00A9393E">
        <w:t>Citizens will not reimburse Vendor for travel-related expenses</w:t>
      </w:r>
      <w:r w:rsidR="00BB1F93" w:rsidRPr="00A9393E">
        <w:t>.</w:t>
      </w:r>
    </w:p>
    <w:p w14:paraId="7B927495" w14:textId="77777777" w:rsidR="005E4B00" w:rsidRPr="00C33EC9" w:rsidRDefault="005E4B00" w:rsidP="005E4B00">
      <w:pPr>
        <w:pStyle w:val="KHeading2"/>
        <w:ind w:left="1440" w:hanging="720"/>
      </w:pPr>
      <w:r w:rsidRPr="00C33EC9">
        <w:rPr>
          <w:u w:val="single"/>
        </w:rPr>
        <w:t>No Additional Charges</w:t>
      </w:r>
      <w:r>
        <w:t xml:space="preserve">. </w:t>
      </w:r>
      <w:r w:rsidRPr="00C33EC9">
        <w:t>Except for the compensation described in the Compensation Schedule and travel-related expenses, if permitted, Citizens shall not be billed for or be obligated to pay to Vendor any charges, expenses, or other amounts for the Services or otherwise.</w:t>
      </w:r>
    </w:p>
    <w:p w14:paraId="1B33CADC" w14:textId="3FBAE937" w:rsidR="005E4B00" w:rsidRPr="004B7654" w:rsidRDefault="005E4B00" w:rsidP="004B7654">
      <w:pPr>
        <w:pStyle w:val="KHeading2"/>
        <w:ind w:left="1440" w:hanging="720"/>
      </w:pPr>
      <w:r w:rsidRPr="00C33EC9">
        <w:rPr>
          <w:u w:val="single"/>
        </w:rPr>
        <w:t>Offsets</w:t>
      </w:r>
      <w:r>
        <w:rPr>
          <w:u w:val="single"/>
        </w:rPr>
        <w:t xml:space="preserve"> and</w:t>
      </w:r>
      <w:r w:rsidRPr="00C33EC9">
        <w:rPr>
          <w:u w:val="single"/>
        </w:rPr>
        <w:t xml:space="preserve"> Credits</w:t>
      </w:r>
      <w:r>
        <w:t xml:space="preserve">. </w:t>
      </w:r>
      <w:r w:rsidRPr="00C33EC9">
        <w:t xml:space="preserve">Any amounts due from Vendor may be applied by Citizens against any </w:t>
      </w:r>
      <w:r>
        <w:t xml:space="preserve">amounts due to Vendor. </w:t>
      </w:r>
      <w:r w:rsidRPr="00C33EC9">
        <w:t xml:space="preserve">Any such amounts that are not so applied shall be paid to Citizens by Vendor within thirty (30) </w:t>
      </w:r>
      <w:r w:rsidRPr="00B768A6">
        <w:t>calendar</w:t>
      </w:r>
      <w:r w:rsidRPr="00C33EC9">
        <w:t xml:space="preserve"> days following Citizens' request.</w:t>
      </w:r>
    </w:p>
    <w:p w14:paraId="4262B027" w14:textId="58D69E44" w:rsidR="006C3AE7" w:rsidRDefault="006C3AE7" w:rsidP="006510D9">
      <w:pPr>
        <w:pStyle w:val="KHeading2"/>
        <w:ind w:left="1440" w:hanging="720"/>
      </w:pPr>
      <w:r w:rsidRPr="00C33EC9">
        <w:rPr>
          <w:u w:val="single"/>
        </w:rPr>
        <w:t>Taxes</w:t>
      </w:r>
      <w:r w:rsidR="00667780">
        <w:t xml:space="preserve">. </w:t>
      </w:r>
      <w:r w:rsidR="00C77008" w:rsidRPr="00C33EC9">
        <w:t>Citizens is a State of Florida</w:t>
      </w:r>
      <w:r w:rsidR="00E14CD8">
        <w:t>,</w:t>
      </w:r>
      <w:r w:rsidR="00C77008" w:rsidRPr="00C33EC9">
        <w:t xml:space="preserve"> legislatively created</w:t>
      </w:r>
      <w:r w:rsidR="00E14CD8">
        <w:t>,</w:t>
      </w:r>
      <w:r w:rsidR="00C77008" w:rsidRPr="00C33EC9">
        <w:t xml:space="preserve"> governmental entity which does not pay federal excise or state sales taxes on direct purchases </w:t>
      </w:r>
      <w:r w:rsidR="00667780">
        <w:t xml:space="preserve">of tangible personal property. </w:t>
      </w:r>
      <w:r w:rsidRPr="00C33EC9">
        <w:t>Vendor represents and warrants that it is an independent contractor for purposes of federal, stat</w:t>
      </w:r>
      <w:r w:rsidR="00667780">
        <w:t xml:space="preserve">e, and local employment taxes. </w:t>
      </w:r>
      <w:r w:rsidRPr="00C33EC9">
        <w:t xml:space="preserve">Vendor agrees that Citizens is not responsible to collect or withhold any federal, state, or local employment taxes, including </w:t>
      </w:r>
      <w:r w:rsidR="00C77008" w:rsidRPr="00C33EC9">
        <w:t xml:space="preserve">personal property tax, </w:t>
      </w:r>
      <w:r w:rsidRPr="00C33EC9">
        <w:t>inco</w:t>
      </w:r>
      <w:r w:rsidR="00C77008" w:rsidRPr="00C33EC9">
        <w:t xml:space="preserve">me tax withholding, and </w:t>
      </w:r>
      <w:r w:rsidRPr="00C33EC9">
        <w:t>social security contributions, for Vendor or</w:t>
      </w:r>
      <w:r w:rsidR="001C4E13" w:rsidRPr="00C33EC9">
        <w:t xml:space="preserve"> Vendor Staff</w:t>
      </w:r>
      <w:r w:rsidR="00667780">
        <w:t xml:space="preserve">. </w:t>
      </w:r>
      <w:r w:rsidRPr="00C33EC9">
        <w:t xml:space="preserve">Any and all taxes, </w:t>
      </w:r>
      <w:proofErr w:type="gramStart"/>
      <w:r w:rsidRPr="00C33EC9">
        <w:t>interest</w:t>
      </w:r>
      <w:proofErr w:type="gramEnd"/>
      <w:r w:rsidRPr="00C33EC9">
        <w:t xml:space="preserve"> or penalties, including </w:t>
      </w:r>
      <w:r w:rsidR="00C77008" w:rsidRPr="00C33EC9">
        <w:t xml:space="preserve">personal property tax or </w:t>
      </w:r>
      <w:r w:rsidRPr="00C33EC9">
        <w:t xml:space="preserve">any federal, state, or local withholding or employment taxes, imposed, assessed, or levied as a result of this </w:t>
      </w:r>
      <w:r w:rsidR="00B87CBF">
        <w:t>Agreement</w:t>
      </w:r>
      <w:r w:rsidRPr="00C33EC9">
        <w:t xml:space="preserve"> shall be paid or withheld by Vendor or, if assessed against and paid by Citizens, shall be </w:t>
      </w:r>
      <w:r w:rsidR="00C77008" w:rsidRPr="00C33EC9">
        <w:t xml:space="preserve">immediately </w:t>
      </w:r>
      <w:r w:rsidRPr="00C33EC9">
        <w:t>reimbursed by Vendor upon demand by Citizens.</w:t>
      </w:r>
    </w:p>
    <w:p w14:paraId="5F0CB0D7" w14:textId="77777777" w:rsidR="00C546A1" w:rsidRPr="00C33EC9" w:rsidRDefault="00C546A1" w:rsidP="009D6B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04E91ECC" w14:textId="77777777" w:rsidR="00C546A1" w:rsidRPr="00C33EC9" w:rsidRDefault="00C546A1" w:rsidP="009D6B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7E4F20CB" w14:textId="77777777" w:rsidR="00C546A1" w:rsidRPr="00C33EC9" w:rsidRDefault="00C546A1" w:rsidP="009D6B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3CA9FDCA" w14:textId="44A78DED" w:rsidR="00141133" w:rsidRPr="00126543" w:rsidRDefault="00141133" w:rsidP="006510D9">
      <w:pPr>
        <w:pStyle w:val="KHeading1"/>
        <w:rPr>
          <w:rFonts w:cs="Arial"/>
          <w:b/>
          <w:color w:val="000000" w:themeColor="text1"/>
          <w:szCs w:val="22"/>
        </w:rPr>
      </w:pPr>
      <w:r w:rsidRPr="00C33EC9">
        <w:rPr>
          <w:rFonts w:cs="Arial"/>
          <w:b/>
          <w:szCs w:val="22"/>
          <w:u w:val="single"/>
        </w:rPr>
        <w:t>Indemnificatio</w:t>
      </w:r>
      <w:r w:rsidRPr="00126543">
        <w:rPr>
          <w:rFonts w:cs="Arial"/>
          <w:b/>
          <w:color w:val="000000" w:themeColor="text1"/>
          <w:szCs w:val="22"/>
          <w:u w:val="single"/>
        </w:rPr>
        <w:t>n</w:t>
      </w:r>
      <w:r w:rsidR="00C25A2D" w:rsidRPr="00126543">
        <w:rPr>
          <w:rFonts w:cs="Arial"/>
          <w:b/>
          <w:color w:val="000000" w:themeColor="text1"/>
          <w:szCs w:val="22"/>
          <w:u w:val="single"/>
        </w:rPr>
        <w:t xml:space="preserve"> </w:t>
      </w:r>
      <w:r w:rsidR="00632390" w:rsidRPr="00126543">
        <w:rPr>
          <w:rFonts w:cs="Arial"/>
          <w:b/>
          <w:color w:val="000000" w:themeColor="text1"/>
          <w:szCs w:val="22"/>
          <w:u w:val="single"/>
        </w:rPr>
        <w:t>and</w:t>
      </w:r>
      <w:r w:rsidRPr="00126543">
        <w:rPr>
          <w:rFonts w:cs="Arial"/>
          <w:b/>
          <w:color w:val="000000" w:themeColor="text1"/>
          <w:szCs w:val="22"/>
          <w:u w:val="single"/>
        </w:rPr>
        <w:t xml:space="preserve"> Limitation of Liability</w:t>
      </w:r>
      <w:r w:rsidR="00CB70F7" w:rsidRPr="00126543">
        <w:rPr>
          <w:rFonts w:cs="Arial"/>
          <w:b/>
          <w:color w:val="000000" w:themeColor="text1"/>
          <w:szCs w:val="22"/>
          <w:u w:val="single"/>
        </w:rPr>
        <w:fldChar w:fldCharType="begin"/>
      </w:r>
      <w:r w:rsidR="00CB70F7" w:rsidRPr="00126543">
        <w:rPr>
          <w:rFonts w:cs="Arial"/>
          <w:b/>
          <w:color w:val="000000" w:themeColor="text1"/>
          <w:szCs w:val="22"/>
        </w:rPr>
        <w:instrText xml:space="preserve"> TC "</w:instrText>
      </w:r>
      <w:bookmarkStart w:id="4" w:name="_Toc520903738"/>
      <w:r w:rsidR="00CB70F7" w:rsidRPr="00126543">
        <w:rPr>
          <w:rFonts w:cs="Arial"/>
          <w:b/>
          <w:color w:val="000000" w:themeColor="text1"/>
          <w:szCs w:val="22"/>
          <w:u w:val="single"/>
        </w:rPr>
        <w:instrText>Indemnification</w:instrText>
      </w:r>
      <w:r w:rsidR="00A4298E" w:rsidRPr="00126543">
        <w:rPr>
          <w:rFonts w:cs="Arial"/>
          <w:b/>
          <w:color w:val="000000" w:themeColor="text1"/>
          <w:szCs w:val="22"/>
          <w:u w:val="single"/>
        </w:rPr>
        <w:instrText xml:space="preserve"> and</w:instrText>
      </w:r>
      <w:r w:rsidR="00CB70F7" w:rsidRPr="00126543">
        <w:rPr>
          <w:rFonts w:cs="Arial"/>
          <w:b/>
          <w:color w:val="000000" w:themeColor="text1"/>
          <w:szCs w:val="22"/>
          <w:u w:val="single"/>
        </w:rPr>
        <w:instrText xml:space="preserve"> Limitation of Liability</w:instrText>
      </w:r>
      <w:bookmarkEnd w:id="4"/>
      <w:r w:rsidR="00CB70F7" w:rsidRPr="00126543">
        <w:rPr>
          <w:rFonts w:cs="Arial"/>
          <w:b/>
          <w:color w:val="000000" w:themeColor="text1"/>
          <w:szCs w:val="22"/>
        </w:rPr>
        <w:instrText xml:space="preserve">" \f C \l "1" </w:instrText>
      </w:r>
      <w:r w:rsidR="00CB70F7" w:rsidRPr="00126543">
        <w:rPr>
          <w:rFonts w:cs="Arial"/>
          <w:b/>
          <w:color w:val="000000" w:themeColor="text1"/>
          <w:szCs w:val="22"/>
          <w:u w:val="single"/>
        </w:rPr>
        <w:fldChar w:fldCharType="end"/>
      </w:r>
      <w:r w:rsidRPr="00126543">
        <w:rPr>
          <w:rFonts w:cs="Arial"/>
          <w:b/>
          <w:color w:val="000000" w:themeColor="text1"/>
          <w:szCs w:val="22"/>
        </w:rPr>
        <w:t>.</w:t>
      </w:r>
    </w:p>
    <w:p w14:paraId="6079F38A" w14:textId="7828BBFE" w:rsidR="003A2217" w:rsidRDefault="003A2217" w:rsidP="006510D9">
      <w:pPr>
        <w:pStyle w:val="KHeading2"/>
        <w:numPr>
          <w:ilvl w:val="1"/>
          <w:numId w:val="16"/>
        </w:numPr>
        <w:ind w:left="1440" w:hanging="720"/>
        <w:textAlignment w:val="auto"/>
      </w:pPr>
      <w:r w:rsidRPr="00232C14">
        <w:rPr>
          <w:u w:val="single"/>
        </w:rPr>
        <w:t>Indemnification</w:t>
      </w:r>
      <w:r w:rsidRPr="00DC0FA3">
        <w:t>.</w:t>
      </w:r>
      <w:r w:rsidR="00667780" w:rsidRPr="003C225E">
        <w:t xml:space="preserve"> </w:t>
      </w:r>
      <w:r w:rsidRPr="003C225E">
        <w:t xml:space="preserve">Vendor shall be fully liable for the actions of Vendor Staff and shall fully indemnify, defend, </w:t>
      </w:r>
      <w:r w:rsidRPr="00FB197D">
        <w:t>and hold harmless Citizens, and its officers, members of the Board of Governors, agents</w:t>
      </w:r>
      <w:r w:rsidR="002D4227">
        <w:t xml:space="preserve">, </w:t>
      </w:r>
      <w:r w:rsidRPr="00FB197D">
        <w:t>employees</w:t>
      </w:r>
      <w:r w:rsidR="00C04BC7">
        <w:t>,</w:t>
      </w:r>
      <w:r w:rsidR="002D4227">
        <w:t xml:space="preserve"> and policyholders</w:t>
      </w:r>
      <w:r w:rsidRPr="00FB197D">
        <w:t xml:space="preserve">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FB197D">
        <w:t>emnitee</w:t>
      </w:r>
      <w:r w:rsidR="00667780" w:rsidRPr="003C225E">
        <w:t>, by reason of any Claim</w:t>
      </w:r>
      <w:r w:rsidRPr="003C225E">
        <w:t xml:space="preserve"> arising out of or relating to any act, error or omission, or misconduct of Vendor, its officers, directors, agents, employees</w:t>
      </w:r>
      <w:r w:rsidR="003C225E" w:rsidRPr="003C225E">
        <w:t>,</w:t>
      </w:r>
      <w:r w:rsidRPr="003C225E">
        <w:t xml:space="preserve"> or contractors</w:t>
      </w:r>
      <w:r w:rsidR="003C225E" w:rsidRPr="003C225E">
        <w:t>, including</w:t>
      </w:r>
      <w:r w:rsidRPr="003C225E">
        <w:t xml:space="preserve"> without limitation: (a) a violation of federal, state, local, internationa</w:t>
      </w:r>
      <w:r w:rsidR="003C225E" w:rsidRPr="003C225E">
        <w:t xml:space="preserve">l, or other laws or regulations; </w:t>
      </w:r>
      <w:r w:rsidRPr="003C225E">
        <w:t>(</w:t>
      </w:r>
      <w:r w:rsidR="003C225E" w:rsidRPr="003C225E">
        <w:t>b</w:t>
      </w:r>
      <w:r w:rsidRPr="003C225E">
        <w:t>) bodily injury (including death) or damage to tangible personal or real property; (</w:t>
      </w:r>
      <w:r w:rsidR="003C225E" w:rsidRPr="003C225E">
        <w:t>c</w:t>
      </w:r>
      <w:r w:rsidRPr="00126543">
        <w:t xml:space="preserve">) </w:t>
      </w:r>
      <w:r w:rsidR="00CC381D" w:rsidRPr="00126543">
        <w:t xml:space="preserve">a </w:t>
      </w:r>
      <w:r w:rsidRPr="00126543">
        <w:t xml:space="preserve">breach of any </w:t>
      </w:r>
      <w:r w:rsidR="00F4031C" w:rsidRPr="00126543">
        <w:t xml:space="preserve">obligation or </w:t>
      </w:r>
      <w:r w:rsidRPr="00126543">
        <w:t>representation made by Vendor under this Agreement;</w:t>
      </w:r>
      <w:r w:rsidRPr="003C225E">
        <w:t xml:space="preserve"> (</w:t>
      </w:r>
      <w:r w:rsidR="003C225E" w:rsidRPr="003C225E">
        <w:t>d</w:t>
      </w:r>
      <w:r w:rsidRPr="003C225E">
        <w:t xml:space="preserve">) any claim that any </w:t>
      </w:r>
      <w:r w:rsidR="00FC65F0">
        <w:t>portion of the Services</w:t>
      </w:r>
      <w:r w:rsidRPr="003C225E">
        <w:t xml:space="preserve"> violates or infringes upon a trademark, copyright, patent, trade secret or intellectual property right; </w:t>
      </w:r>
      <w:r w:rsidR="003C225E" w:rsidRPr="003C225E">
        <w:t xml:space="preserve">or, </w:t>
      </w:r>
      <w:r w:rsidRPr="003C225E">
        <w:t>(</w:t>
      </w:r>
      <w:r w:rsidR="003C225E" w:rsidRPr="003C225E">
        <w:t>e</w:t>
      </w:r>
      <w:r w:rsidRPr="003C225E">
        <w:t>) Vendor’s failure to timely forward a public records request to Citizens for</w:t>
      </w:r>
      <w:r w:rsidR="003C225E" w:rsidRPr="003C225E">
        <w:t xml:space="preserve"> handling</w:t>
      </w:r>
      <w:r w:rsidRPr="003C225E">
        <w:t>.</w:t>
      </w:r>
    </w:p>
    <w:p w14:paraId="0953ECCF" w14:textId="77777777" w:rsidR="00714C85" w:rsidRDefault="00714C85" w:rsidP="00232C14">
      <w:pPr>
        <w:pStyle w:val="KHeading3"/>
        <w:ind w:left="2160" w:hanging="720"/>
      </w:pPr>
      <w:r>
        <w:t xml:space="preserve">Vendor's obligations of indemnification with respect to any Claim are contingent upon Citizens (or other Indemnitee) providing Vendor: (a) written notice of the Claim; (b) the opportunity to settle </w:t>
      </w:r>
      <w:r w:rsidRPr="001F5785">
        <w:t>or defend</w:t>
      </w:r>
      <w:r>
        <w:t xml:space="preserve"> against </w:t>
      </w:r>
      <w:r>
        <w:lastRenderedPageBreak/>
        <w:t xml:space="preserve">the Claim at Vendor's sole expense; and, (c) </w:t>
      </w:r>
      <w:r w:rsidRPr="001F5785">
        <w:t>assistance in defending against or settling the Claim at Vendor's sole expense</w:t>
      </w:r>
      <w:r>
        <w:t>. Vendor shall not be liable for any cost, expense, or compromise incurred or made by an Indemnitee in any legal action without Vendor's prior written consent, which shall</w:t>
      </w:r>
      <w:r w:rsidR="00667780">
        <w:t xml:space="preserve"> not be unreasonably withheld.</w:t>
      </w:r>
    </w:p>
    <w:p w14:paraId="73B074BF" w14:textId="77777777" w:rsidR="00714C85" w:rsidRDefault="00714C85" w:rsidP="00232C14">
      <w:pPr>
        <w:pStyle w:val="KHeading3"/>
        <w:ind w:left="2160" w:hanging="720"/>
      </w:pPr>
      <w:r>
        <w:t xml:space="preserve">Notwithstanding anything in this </w:t>
      </w:r>
      <w:r w:rsidR="00B87CBF">
        <w:t>Agreement</w:t>
      </w:r>
      <w:r>
        <w:t xml:space="preserve"> to the contrary, Vendor shall not indemnify for that portion of a Claim proximately caused by: (a) a negligent act or omission of an Indemnitee; or, (b) an Indemnitee's misuse or modification of the Service or Work Product.  </w:t>
      </w:r>
    </w:p>
    <w:p w14:paraId="537BC264" w14:textId="77777777" w:rsidR="00714C85" w:rsidRDefault="00714C85" w:rsidP="00232C14">
      <w:pPr>
        <w:pStyle w:val="KHeading3"/>
        <w:ind w:left="2160" w:hanging="720"/>
      </w:pPr>
      <w:r>
        <w:t xml:space="preserve">The obligations in this Section are separate and apart from, and in no way limit Citizens' rights under any insurance provided by Vendor pursuant to this </w:t>
      </w:r>
      <w:r w:rsidR="00B87CBF">
        <w:t>Agreement</w:t>
      </w:r>
      <w:r>
        <w:t xml:space="preserve"> or otherwise.</w:t>
      </w:r>
    </w:p>
    <w:p w14:paraId="4DDD4BAC" w14:textId="77777777" w:rsidR="0021593C" w:rsidRPr="00C33EC9" w:rsidRDefault="00714C85" w:rsidP="00232C14">
      <w:pPr>
        <w:pStyle w:val="KHeading3"/>
        <w:ind w:left="2160" w:hanging="720"/>
      </w:pPr>
      <w:r>
        <w:t xml:space="preserve">The provisions of this Section shall survive the termination of this </w:t>
      </w:r>
      <w:r w:rsidR="00B87CBF">
        <w:t>Agreement</w:t>
      </w:r>
      <w:r>
        <w:t>.</w:t>
      </w:r>
    </w:p>
    <w:p w14:paraId="55354325" w14:textId="2598EFC8" w:rsidR="005210BD" w:rsidRDefault="00B35311" w:rsidP="00232C14">
      <w:pPr>
        <w:pStyle w:val="KHeading2"/>
        <w:ind w:left="1440" w:hanging="720"/>
        <w:rPr>
          <w:color w:val="FF0000"/>
        </w:rPr>
      </w:pPr>
      <w:r w:rsidRPr="00126543">
        <w:rPr>
          <w:color w:val="000000" w:themeColor="text1"/>
          <w:u w:val="single"/>
        </w:rPr>
        <w:t>Limitation of Liability</w:t>
      </w:r>
      <w:r w:rsidR="00667780" w:rsidRPr="00126543">
        <w:rPr>
          <w:color w:val="000000" w:themeColor="text1"/>
        </w:rPr>
        <w:t xml:space="preserve">. </w:t>
      </w:r>
    </w:p>
    <w:p w14:paraId="121FD849" w14:textId="5D72FB51" w:rsidR="005210BD" w:rsidRPr="00672AD4" w:rsidRDefault="00B35311" w:rsidP="00126543">
      <w:pPr>
        <w:pStyle w:val="KHeading3"/>
        <w:ind w:left="2160" w:hanging="720"/>
      </w:pPr>
      <w:r w:rsidRPr="00393F3B">
        <w:t xml:space="preserve">NOTWITHSTANDING ANY OTHER </w:t>
      </w:r>
      <w:r w:rsidR="00E14CD8">
        <w:t xml:space="preserve">PROVISION </w:t>
      </w:r>
      <w:r w:rsidR="00A66030" w:rsidRPr="00393F3B">
        <w:t xml:space="preserve">OF THIS </w:t>
      </w:r>
      <w:r w:rsidR="00B87CBF">
        <w:t>AGREEMENT</w:t>
      </w:r>
      <w:r w:rsidR="009F02CE" w:rsidRPr="00393F3B">
        <w:t xml:space="preserve"> TO THE CONTRARY</w:t>
      </w:r>
      <w:r w:rsidRPr="00393F3B">
        <w:t xml:space="preserve">, NEITHER PARTY SHALL BE LIABLE </w:t>
      </w:r>
      <w:r w:rsidR="0041077D" w:rsidRPr="00393F3B">
        <w:t xml:space="preserve">TO THE OTHER </w:t>
      </w:r>
      <w:r w:rsidRPr="00393F3B">
        <w:t>FOR ANY</w:t>
      </w:r>
      <w:r w:rsidR="00F44869">
        <w:t xml:space="preserve"> </w:t>
      </w:r>
      <w:r w:rsidR="00F44869" w:rsidRPr="00F44869">
        <w:t>SPECULATIVE OR REMOTE DAMAGES, INCLUDING LOST PROFITS, ARISING</w:t>
      </w:r>
      <w:r w:rsidR="002D374A">
        <w:t xml:space="preserve"> </w:t>
      </w:r>
      <w:r w:rsidR="00F44869" w:rsidRPr="00F44869">
        <w:t xml:space="preserve">OUT OF OR IN CONNECTION WITH A </w:t>
      </w:r>
      <w:r w:rsidR="00F44869" w:rsidRPr="00672AD4">
        <w:t xml:space="preserve">BREACH OF THIS </w:t>
      </w:r>
      <w:r w:rsidR="00B87CBF" w:rsidRPr="00672AD4">
        <w:t>AGREEMENT</w:t>
      </w:r>
      <w:r w:rsidR="00BF1543" w:rsidRPr="00672AD4">
        <w:t>.</w:t>
      </w:r>
      <w:r w:rsidR="00F44869" w:rsidRPr="00672AD4">
        <w:t xml:space="preserve"> </w:t>
      </w:r>
    </w:p>
    <w:p w14:paraId="18401079" w14:textId="36625687" w:rsidR="005210BD" w:rsidRPr="00672AD4" w:rsidRDefault="00672AD4" w:rsidP="00126543">
      <w:pPr>
        <w:pStyle w:val="KHeading3"/>
        <w:ind w:left="2160" w:hanging="720"/>
      </w:pPr>
      <w:r w:rsidRPr="00672AD4">
        <w:t>NOTWITHSTANDING ANY OTHER PROVISION OF THIS AGREEMENT TO THE CONTRARY, NEITHER PARTY SHALL BE LIABLE TO THE OTHER FOR ANY DAMAGES ARISING OUT OF OR IN CONNECTION WITH THIS AGREEMENT. THIS LIMITATION APPLIES REGARDLESS OF WHETHER THE ACTION OR CLAIM IS BASED IN CONTRACT, EQUITY, TORT, OR OTHERWISE. THIS LIMITATION SHALL NOT APPLY TO: (A) ANY OBLIGATION OF INDEMNIFICATION SET FORTH IN THIS AGREEMENT; (B) ANY CLAIM OR DAMAGE CAUSED BY A PARTY'S GROSS NEGLIGENCE OR WILFUL MISCONDUCT; (C) ANY CLAIM OR DAMAGE TO THE EXTENT COVERED BY AN INSURANCE POLICY REQUIRED IN THIS AGREEMENT; OR, (D) ANY CLAIM OR DAMAGE CAUSED BY VENDOR'S BREACH OF ITS OBLIGATIONS OF CONFIDENTIALITY AS SET FORTH IN THIS AGREEMENT.</w:t>
      </w:r>
    </w:p>
    <w:p w14:paraId="3E9827EC" w14:textId="49517127" w:rsidR="005210BD" w:rsidRDefault="00AB1741" w:rsidP="00126543">
      <w:pPr>
        <w:pStyle w:val="KHeading3"/>
        <w:ind w:left="2160" w:hanging="720"/>
      </w:pPr>
      <w:r w:rsidRPr="00CF6E6D">
        <w:t xml:space="preserve">NOTHING IN THIS </w:t>
      </w:r>
      <w:r w:rsidR="00B87CBF">
        <w:t>AGREEMENT</w:t>
      </w:r>
      <w:r w:rsidRPr="00CF6E6D">
        <w:t xml:space="preserve"> SHALL BE CONSTRUED AS A WAIVER OF THE LIMIT ON CITIZENS' LIABILITY FOR TORT CLAIMS UNDER SECTION 768.28, FLORIDA STATUTES.</w:t>
      </w:r>
      <w:r w:rsidR="00667780">
        <w:t xml:space="preserve"> </w:t>
      </w:r>
    </w:p>
    <w:p w14:paraId="3DACDB0E" w14:textId="546EB6B0" w:rsidR="00AB1741" w:rsidRPr="00CF6E6D" w:rsidRDefault="00AB1741" w:rsidP="00126543">
      <w:pPr>
        <w:pStyle w:val="KHeading3"/>
        <w:ind w:left="2160" w:hanging="720"/>
      </w:pPr>
      <w:r w:rsidRPr="00CF6E6D">
        <w:t xml:space="preserve">THIS SECTION SHALL SURVIVE THE TERMINATION OF THIS </w:t>
      </w:r>
      <w:r w:rsidR="00B87CBF">
        <w:t>AGREEMENT</w:t>
      </w:r>
      <w:r w:rsidRPr="00CF6E6D">
        <w:t>.</w:t>
      </w:r>
      <w:r w:rsidR="00FC65F0">
        <w:t xml:space="preserve"> </w:t>
      </w:r>
    </w:p>
    <w:p w14:paraId="2B5C6C33" w14:textId="11A07FB0" w:rsidR="000B5DCE" w:rsidRPr="00E80255" w:rsidRDefault="0021593C" w:rsidP="00232C14">
      <w:pPr>
        <w:pStyle w:val="KHeading1"/>
        <w:rPr>
          <w:b/>
          <w:color w:val="FF0000"/>
        </w:rPr>
      </w:pPr>
      <w:r w:rsidRPr="00C33EC9">
        <w:rPr>
          <w:b/>
          <w:u w:val="single"/>
        </w:rPr>
        <w:t>Insurance</w:t>
      </w:r>
      <w:r w:rsidR="00BF480E" w:rsidRPr="00C33EC9">
        <w:rPr>
          <w:u w:val="single"/>
        </w:rPr>
        <w:fldChar w:fldCharType="begin"/>
      </w:r>
      <w:r w:rsidR="00BF480E" w:rsidRPr="00C33EC9">
        <w:instrText xml:space="preserve"> TC "</w:instrText>
      </w:r>
      <w:bookmarkStart w:id="5" w:name="_Toc520903739"/>
      <w:r w:rsidR="00BF480E" w:rsidRPr="00CF6E6D">
        <w:rPr>
          <w:b/>
          <w:u w:val="single"/>
        </w:rPr>
        <w:instrText>Insurance</w:instrText>
      </w:r>
      <w:bookmarkEnd w:id="5"/>
      <w:r w:rsidR="00BF480E" w:rsidRPr="00C33EC9">
        <w:instrText xml:space="preserve">" \f C \l "1" </w:instrText>
      </w:r>
      <w:r w:rsidR="00BF480E" w:rsidRPr="00C33EC9">
        <w:rPr>
          <w:u w:val="single"/>
        </w:rPr>
        <w:fldChar w:fldCharType="end"/>
      </w:r>
      <w:r w:rsidRPr="00C33EC9">
        <w:t>.</w:t>
      </w:r>
      <w:r w:rsidR="00F006D7">
        <w:t xml:space="preserve"> </w:t>
      </w:r>
    </w:p>
    <w:p w14:paraId="13AF9847" w14:textId="554F300B" w:rsidR="0021593C" w:rsidRPr="00232C14" w:rsidRDefault="00E80255" w:rsidP="006510D9">
      <w:pPr>
        <w:pStyle w:val="KHeading2"/>
        <w:numPr>
          <w:ilvl w:val="1"/>
          <w:numId w:val="17"/>
        </w:numPr>
        <w:ind w:left="1440" w:hanging="720"/>
        <w:rPr>
          <w:b/>
          <w:color w:val="FF0000"/>
        </w:rPr>
      </w:pPr>
      <w:r w:rsidRPr="00232C14">
        <w:rPr>
          <w:u w:val="single"/>
        </w:rPr>
        <w:t>Vendor Insurance Requirements</w:t>
      </w:r>
      <w:r w:rsidRPr="00214340">
        <w:t xml:space="preserve">. </w:t>
      </w:r>
      <w:r w:rsidR="0021593C" w:rsidRPr="00C33EC9">
        <w:t xml:space="preserve">During the term of this </w:t>
      </w:r>
      <w:r w:rsidR="00B87CBF">
        <w:t>Agreement</w:t>
      </w:r>
      <w:r w:rsidR="0021593C" w:rsidRPr="00C33EC9">
        <w:t>, Vendor will maintain at its sole expense the following insurance, purchased from an insurer licens</w:t>
      </w:r>
      <w:r w:rsidR="00E4509D" w:rsidRPr="00C33EC9">
        <w:t>ed to transact business in the S</w:t>
      </w:r>
      <w:r w:rsidR="0021593C" w:rsidRPr="00C33EC9">
        <w:t>tate of Florida</w:t>
      </w:r>
      <w:r w:rsidR="0089557A">
        <w:t>:</w:t>
      </w:r>
      <w:r w:rsidR="005F17DC">
        <w:t xml:space="preserve"> </w:t>
      </w:r>
    </w:p>
    <w:p w14:paraId="527194AA" w14:textId="19C7499B" w:rsidR="0021593C" w:rsidRPr="003D3489" w:rsidRDefault="0021593C" w:rsidP="00232C14">
      <w:pPr>
        <w:pStyle w:val="KHeading3"/>
        <w:ind w:left="2160" w:hanging="720"/>
      </w:pPr>
      <w:r w:rsidRPr="003D3489">
        <w:t>Workers’ Compensation</w:t>
      </w:r>
      <w:r w:rsidR="008273F2" w:rsidRPr="003D3489">
        <w:t xml:space="preserve"> w</w:t>
      </w:r>
      <w:r w:rsidRPr="003D3489">
        <w:t>hich provide</w:t>
      </w:r>
      <w:r w:rsidR="008273F2" w:rsidRPr="003D3489">
        <w:t>s</w:t>
      </w:r>
      <w:r w:rsidRPr="003D3489">
        <w:t xml:space="preserve"> coverage for Vendor’s employees </w:t>
      </w:r>
      <w:r w:rsidR="00E80255" w:rsidRPr="003D3489">
        <w:t>and</w:t>
      </w:r>
      <w:r w:rsidRPr="003D3489">
        <w:t xml:space="preserve"> independent contractors’ employees, regardless of the state of hire, in at least the minimum statutory limits required by the </w:t>
      </w:r>
      <w:r w:rsidR="00E14CD8" w:rsidRPr="003D3489">
        <w:t>S</w:t>
      </w:r>
      <w:r w:rsidRPr="003D3489">
        <w:t>tate of Florida, and Employers’ Liability with limits of $1 million</w:t>
      </w:r>
      <w:r w:rsidR="006313EE" w:rsidRPr="003D3489">
        <w:t xml:space="preserve"> per accident;</w:t>
      </w:r>
      <w:r w:rsidR="00F4083B" w:rsidRPr="003D3489">
        <w:t xml:space="preserve"> provided, </w:t>
      </w:r>
      <w:r w:rsidR="00F4083B" w:rsidRPr="003D3489">
        <w:lastRenderedPageBreak/>
        <w:t>however, that such workers’ compensation policy may exclude coverage for independent contractor employees who are covered by a workers’ compensation policy that meets the requirements (including Employers’ Liability coverage) set forth herein</w:t>
      </w:r>
      <w:r w:rsidR="0089557A" w:rsidRPr="003D3489">
        <w:t>.</w:t>
      </w:r>
      <w:r w:rsidR="00507F4F" w:rsidRPr="003D3489">
        <w:t xml:space="preserve"> </w:t>
      </w:r>
    </w:p>
    <w:p w14:paraId="6A61126D" w14:textId="77777777" w:rsidR="005F17DC" w:rsidRPr="003D3489" w:rsidRDefault="0021593C" w:rsidP="00232C14">
      <w:pPr>
        <w:pStyle w:val="KHeading3"/>
        <w:ind w:left="2160" w:hanging="720"/>
      </w:pPr>
      <w:r w:rsidRPr="003D3489">
        <w:t xml:space="preserve">Commercial General Liability with minimum limits of $1 million per occurrence (to include contractual liability for liability assumed hereunder) and $2 million in the aggregate; </w:t>
      </w:r>
    </w:p>
    <w:p w14:paraId="0601211C" w14:textId="19BF01AF" w:rsidR="00507F4F" w:rsidRPr="003D3489" w:rsidRDefault="00507F4F" w:rsidP="00232C14">
      <w:pPr>
        <w:pStyle w:val="KHeading3"/>
        <w:ind w:left="2160" w:hanging="720"/>
      </w:pPr>
      <w:r w:rsidRPr="003D3489">
        <w:t xml:space="preserve">Information Security/Cyber Liability insurance written on a “claims-made” basis covering Vendor and Vendor Staff for expenses, claims and losses resulting from wrongful acts committed in the performance of, or failure to perform, all Services, including, without limitation, claims, </w:t>
      </w:r>
      <w:r w:rsidR="00C66696" w:rsidRPr="003D3489">
        <w:t xml:space="preserve">other </w:t>
      </w:r>
      <w:proofErr w:type="gramStart"/>
      <w:r w:rsidRPr="003D3489">
        <w:t>demand</w:t>
      </w:r>
      <w:r w:rsidR="00C66696" w:rsidRPr="003D3489">
        <w:t>s</w:t>
      </w:r>
      <w:proofErr w:type="gramEnd"/>
      <w:r w:rsidRPr="003D3489">
        <w:t xml:space="preserve"> and any payments related to electronic or physical security, breaches of confidentiality and invasion of or breaches of privacy.  The Information Security/Cyber Liability Insurance must include internet media liability including clo</w:t>
      </w:r>
      <w:r w:rsidR="00C66696" w:rsidRPr="003D3489">
        <w:t>ud computing and mobile devices</w:t>
      </w:r>
      <w:r w:rsidRPr="003D3489">
        <w:t xml:space="preserve"> for protection of </w:t>
      </w:r>
      <w:r w:rsidR="00C66696" w:rsidRPr="003D3489">
        <w:t>c</w:t>
      </w:r>
      <w:r w:rsidRPr="003D3489">
        <w:t xml:space="preserve">onfidential </w:t>
      </w:r>
      <w:r w:rsidR="00C66696" w:rsidRPr="003D3489">
        <w:t>i</w:t>
      </w:r>
      <w:r w:rsidRPr="003D3489">
        <w:t xml:space="preserve">nformation </w:t>
      </w:r>
      <w:r w:rsidR="009F57AA" w:rsidRPr="003D3489">
        <w:t xml:space="preserve">and customer data </w:t>
      </w:r>
      <w:r w:rsidRPr="003D3489">
        <w:t>whether electronic or non-electronic, network security and privacy; privacy against liability for system attacks, digital asset loss, denial or loss of service, introduction, implantation or spread of malicious software code, security breach, unauthorized access and use, inclu</w:t>
      </w:r>
      <w:r w:rsidR="00C66696" w:rsidRPr="003D3489">
        <w:t>ding regulatory action expenses,</w:t>
      </w:r>
      <w:r w:rsidRPr="003D3489">
        <w:t xml:space="preserve"> and notification and credit monitoring expenses with at least the minimum limits listed below.  Coverage must be renewed for two </w:t>
      </w:r>
      <w:r w:rsidR="0089557A" w:rsidRPr="003D3489">
        <w:t xml:space="preserve">(2) </w:t>
      </w:r>
      <w:r w:rsidRPr="003D3489">
        <w:t>year</w:t>
      </w:r>
      <w:r w:rsidR="0089557A" w:rsidRPr="003D3489">
        <w:t>s</w:t>
      </w:r>
      <w:r w:rsidRPr="003D3489">
        <w:t xml:space="preserve"> after completion of the Services.</w:t>
      </w:r>
    </w:p>
    <w:p w14:paraId="745FE92A" w14:textId="77777777" w:rsidR="00507F4F" w:rsidRPr="003D3489" w:rsidRDefault="00507F4F" w:rsidP="00507F4F">
      <w:pPr>
        <w:pStyle w:val="KHeading4"/>
      </w:pPr>
      <w:r w:rsidRPr="003D3489">
        <w:t xml:space="preserve">Each occurrence </w:t>
      </w:r>
      <w:r w:rsidR="00B05E42" w:rsidRPr="003D3489">
        <w:t>-</w:t>
      </w:r>
      <w:r w:rsidRPr="003D3489">
        <w:t xml:space="preserve"> $1,000,000</w:t>
      </w:r>
    </w:p>
    <w:p w14:paraId="1E80E0BA" w14:textId="77777777" w:rsidR="00507F4F" w:rsidRPr="003D3489" w:rsidRDefault="00507F4F" w:rsidP="00507F4F">
      <w:pPr>
        <w:pStyle w:val="KHeading4"/>
      </w:pPr>
      <w:r w:rsidRPr="003D3489">
        <w:t xml:space="preserve">Network Security/Privacy Liability </w:t>
      </w:r>
      <w:r w:rsidR="00B05E42" w:rsidRPr="003D3489">
        <w:t>-</w:t>
      </w:r>
      <w:r w:rsidRPr="003D3489">
        <w:t xml:space="preserve"> $1,000,000</w:t>
      </w:r>
    </w:p>
    <w:p w14:paraId="513A0BC6" w14:textId="77777777" w:rsidR="00507F4F" w:rsidRPr="003D3489" w:rsidRDefault="00507F4F" w:rsidP="00507F4F">
      <w:pPr>
        <w:pStyle w:val="KHeading4"/>
      </w:pPr>
      <w:r w:rsidRPr="003D3489">
        <w:t xml:space="preserve">Breach Response/ Notification Sublimit </w:t>
      </w:r>
      <w:r w:rsidR="00B05E42" w:rsidRPr="003D3489">
        <w:t>-</w:t>
      </w:r>
      <w:r w:rsidRPr="003D3489">
        <w:t xml:space="preserve"> a minimum limit of </w:t>
      </w:r>
      <w:r w:rsidR="0089557A" w:rsidRPr="003D3489">
        <w:t>fifty percent (</w:t>
      </w:r>
      <w:r w:rsidRPr="003D3489">
        <w:t>50%</w:t>
      </w:r>
      <w:r w:rsidR="0089557A" w:rsidRPr="003D3489">
        <w:t>)</w:t>
      </w:r>
      <w:r w:rsidRPr="003D3489">
        <w:t xml:space="preserve"> of the policy aggregate</w:t>
      </w:r>
    </w:p>
    <w:p w14:paraId="3AE27A5B" w14:textId="4FB0548A" w:rsidR="0021593C" w:rsidRPr="003D3489" w:rsidRDefault="00507F4F" w:rsidP="00EC1525">
      <w:pPr>
        <w:pStyle w:val="KHeading4"/>
      </w:pPr>
      <w:r w:rsidRPr="003D3489">
        <w:t xml:space="preserve">Technology Products E&amp;O </w:t>
      </w:r>
      <w:r w:rsidR="00B05E42" w:rsidRPr="003D3489">
        <w:t>-</w:t>
      </w:r>
      <w:r w:rsidRPr="003D3489">
        <w:t xml:space="preserve"> $1,000,000 </w:t>
      </w:r>
    </w:p>
    <w:p w14:paraId="11D50BC8" w14:textId="77777777" w:rsidR="00672AD4" w:rsidRPr="002D0C95" w:rsidRDefault="00672AD4" w:rsidP="00672AD4">
      <w:pPr>
        <w:pStyle w:val="KHeading2"/>
        <w:tabs>
          <w:tab w:val="clear" w:pos="1440"/>
        </w:tabs>
        <w:ind w:left="1440" w:hanging="720"/>
      </w:pPr>
      <w:r w:rsidRPr="002D0C95">
        <w:rPr>
          <w:u w:val="single"/>
        </w:rPr>
        <w:t>Subcontractor Insurance Requirements</w:t>
      </w:r>
      <w:r w:rsidRPr="002D0C95">
        <w:t>. Each subcontractor used by Vendor to provide Services under this Agreement shall provide insurance as follows:</w:t>
      </w:r>
    </w:p>
    <w:p w14:paraId="5659F1A0" w14:textId="77777777" w:rsidR="002D0C95" w:rsidRDefault="00672AD4" w:rsidP="002D0C95">
      <w:pPr>
        <w:pStyle w:val="KHeading3"/>
        <w:ind w:left="2160" w:hanging="720"/>
      </w:pPr>
      <w:r w:rsidRPr="002D0C95">
        <w:t>Workers’ Compensation which provides coverage for the subcontractor’s employees and independent contractors’ employees, regardless of the state of hire, in at least the minimum statutory limits required by the State of Florida, and Employers’ Liability with limits of $1 million per accident; provided, however, that such workers’ compensation policy may exclude  coverage for subcontractor’s independent contractor employees who are covered by a workers’ compensation policy that meets the requirements (including Employers’ Liability coverage) set forth herein.</w:t>
      </w:r>
      <w:r w:rsidR="002D0C95" w:rsidRPr="002D0C95">
        <w:t xml:space="preserve"> </w:t>
      </w:r>
      <w:r w:rsidRPr="002D0C95">
        <w:t>The workers’ compensation policy may also exclude coverage for subcontractor’s corporate officers or owners who have met all requirements for a coverage exemption in accordance with Florida law;</w:t>
      </w:r>
    </w:p>
    <w:p w14:paraId="45EDAD29" w14:textId="1E9F0A46" w:rsidR="00672AD4" w:rsidRPr="002D0C95" w:rsidRDefault="00672AD4" w:rsidP="002D0C95">
      <w:pPr>
        <w:pStyle w:val="KHeading3"/>
        <w:ind w:left="2160" w:hanging="720"/>
      </w:pPr>
      <w:r w:rsidRPr="002D0C95">
        <w:t>Commercial General Liability with minimum limits of $1 million per occurrence (to include contractual liability for liability assumed hereunder) and $2 million in the aggregate</w:t>
      </w:r>
      <w:r w:rsidR="002D0C95" w:rsidRPr="002D0C95">
        <w:t>.</w:t>
      </w:r>
    </w:p>
    <w:p w14:paraId="5F92B66B" w14:textId="0CDBB62A" w:rsidR="0021316D" w:rsidRPr="00BA00F4" w:rsidRDefault="0021316D" w:rsidP="00232C14">
      <w:pPr>
        <w:pStyle w:val="KHeading2"/>
        <w:ind w:left="1440" w:hanging="720"/>
      </w:pPr>
      <w:r w:rsidRPr="00BA00F4">
        <w:rPr>
          <w:u w:val="single"/>
        </w:rPr>
        <w:t>Insurance Company Qualifications</w:t>
      </w:r>
      <w:r w:rsidRPr="00BA00F4">
        <w:t xml:space="preserve">. Each company issuing policies required under Section </w:t>
      </w:r>
      <w:r w:rsidR="005949B3">
        <w:t>11</w:t>
      </w:r>
      <w:r w:rsidR="00BC3151" w:rsidRPr="00F4083B">
        <w:t>.</w:t>
      </w:r>
      <w:r w:rsidRPr="00BA00F4">
        <w:t xml:space="preserve"> must</w:t>
      </w:r>
      <w:r w:rsidR="003C225E">
        <w:t>:</w:t>
      </w:r>
      <w:r w:rsidRPr="00BA00F4">
        <w:t xml:space="preserve"> (</w:t>
      </w:r>
      <w:proofErr w:type="spellStart"/>
      <w:r w:rsidR="00F4083B">
        <w:t>i</w:t>
      </w:r>
      <w:proofErr w:type="spellEnd"/>
      <w:r w:rsidRPr="00BA00F4">
        <w:t>) be licensed to transact business in the State of Florida</w:t>
      </w:r>
      <w:r w:rsidR="003C225E">
        <w:t>;</w:t>
      </w:r>
      <w:r w:rsidR="00E80255">
        <w:t xml:space="preserve"> and</w:t>
      </w:r>
      <w:r w:rsidR="003C225E">
        <w:t>,</w:t>
      </w:r>
      <w:r w:rsidRPr="00BA00F4">
        <w:t xml:space="preserve"> (</w:t>
      </w:r>
      <w:r w:rsidR="00F4083B">
        <w:t>ii</w:t>
      </w:r>
      <w:r w:rsidRPr="00BA00F4">
        <w:t>) have an AM Best Financial Strength rating of “A-” or above.</w:t>
      </w:r>
    </w:p>
    <w:p w14:paraId="0C726BBA" w14:textId="3229A222" w:rsidR="0021316D" w:rsidRPr="0078038F" w:rsidRDefault="0021316D" w:rsidP="00E95E04">
      <w:pPr>
        <w:pStyle w:val="KHeading2"/>
        <w:ind w:left="1440" w:hanging="720"/>
      </w:pPr>
      <w:r w:rsidRPr="0078038F">
        <w:rPr>
          <w:u w:val="single"/>
        </w:rPr>
        <w:lastRenderedPageBreak/>
        <w:t>Defense Costs</w:t>
      </w:r>
      <w:r w:rsidRPr="0078038F">
        <w:t xml:space="preserve">. The limits of indemnity coverage required under Section </w:t>
      </w:r>
      <w:r w:rsidR="005949B3">
        <w:t>11</w:t>
      </w:r>
      <w:r w:rsidR="00874ADE" w:rsidRPr="00F4083B">
        <w:t>.</w:t>
      </w:r>
      <w:r w:rsidRPr="0078038F">
        <w:t xml:space="preserve"> shall not include costs incurred in defending against a claim and shall not be reduced by the payment of such costs</w:t>
      </w:r>
      <w:r w:rsidR="00F4083B">
        <w:t xml:space="preserve">; </w:t>
      </w:r>
      <w:r w:rsidR="00F4083B" w:rsidRPr="00F4083B">
        <w:t xml:space="preserve">provided, however, that with respect to professional liability coverage as set forth in </w:t>
      </w:r>
      <w:r w:rsidR="007208D0">
        <w:t xml:space="preserve">Section </w:t>
      </w:r>
      <w:r w:rsidR="005949B3">
        <w:t>11</w:t>
      </w:r>
      <w:r w:rsidR="007208D0">
        <w:t>.</w:t>
      </w:r>
      <w:r w:rsidR="00F4083B" w:rsidRPr="00F4083B">
        <w:t>, Vendor may alternatively maintain coverage with minimum limits of $2 million per claim and $4 million in the aggregate.</w:t>
      </w:r>
    </w:p>
    <w:p w14:paraId="1C9B75B8" w14:textId="1B4F87B2" w:rsidR="0021316D" w:rsidRPr="00BA00F4" w:rsidRDefault="0021316D" w:rsidP="00232C14">
      <w:pPr>
        <w:pStyle w:val="KHeading2"/>
        <w:ind w:left="1440" w:hanging="720"/>
      </w:pPr>
      <w:r w:rsidRPr="00BA00F4">
        <w:rPr>
          <w:u w:val="single"/>
        </w:rPr>
        <w:t>Vendor’s Insurance is Primary</w:t>
      </w:r>
      <w:r w:rsidRPr="00BA00F4">
        <w:t xml:space="preserve">. The insurance required under Section </w:t>
      </w:r>
      <w:r w:rsidR="005949B3">
        <w:t>11</w:t>
      </w:r>
      <w:r w:rsidR="00874ADE" w:rsidRPr="00F4083B">
        <w:t>.1</w:t>
      </w:r>
      <w:r w:rsidR="004E04AD">
        <w:t>.</w:t>
      </w:r>
      <w:r w:rsidRPr="00BA00F4">
        <w:t xml:space="preserve"> shall apply on a primary basis to, and shall not require contribution from, any other insurance or self-insurance maintained by Citizens</w:t>
      </w:r>
      <w:r w:rsidR="0078038F">
        <w:t>, Citizens’ Board Member</w:t>
      </w:r>
      <w:r w:rsidR="00C06D65">
        <w:t>,</w:t>
      </w:r>
      <w:r w:rsidRPr="00BA00F4">
        <w:t xml:space="preserve"> or any Citizens employee.</w:t>
      </w:r>
    </w:p>
    <w:p w14:paraId="12FFE1B3" w14:textId="088FB0B4" w:rsidR="0021316D" w:rsidRPr="00A9369E" w:rsidRDefault="0021316D" w:rsidP="00232C14">
      <w:pPr>
        <w:pStyle w:val="KHeading2"/>
        <w:ind w:left="1440" w:hanging="720"/>
      </w:pPr>
      <w:r w:rsidRPr="00A9369E">
        <w:rPr>
          <w:u w:val="single"/>
        </w:rPr>
        <w:t>Citizens to be an Additional Insured</w:t>
      </w:r>
      <w:r w:rsidR="00C06D65">
        <w:t xml:space="preserve">. </w:t>
      </w:r>
      <w:r w:rsidR="00F4083B">
        <w:t>The Commercial General Liability</w:t>
      </w:r>
      <w:r w:rsidRPr="00A9369E">
        <w:t xml:space="preserve"> </w:t>
      </w:r>
      <w:r w:rsidR="00167EAE" w:rsidRPr="00A9369E">
        <w:t xml:space="preserve">policies in Section </w:t>
      </w:r>
      <w:r w:rsidR="00E95E04">
        <w:t>9</w:t>
      </w:r>
      <w:r w:rsidR="00AC02E6">
        <w:t>.</w:t>
      </w:r>
      <w:r w:rsidRPr="00BA00F4">
        <w:t xml:space="preserve"> shall include Citizens as an additional insured</w:t>
      </w:r>
      <w:r w:rsidR="00F4083B">
        <w:t>.</w:t>
      </w:r>
      <w:r w:rsidRPr="00A9369E">
        <w:t xml:space="preserve"> For </w:t>
      </w:r>
      <w:r w:rsidR="00C06D65">
        <w:t xml:space="preserve">Commercial General Liability </w:t>
      </w:r>
      <w:r w:rsidRPr="00A9369E">
        <w:t>coverage, the policy must include ISO Form #CG 20 10 10 01 or a comparable company specific endorsement.</w:t>
      </w:r>
    </w:p>
    <w:p w14:paraId="7D8238EF" w14:textId="7DAA883D" w:rsidR="0021316D" w:rsidRPr="00BA00F4" w:rsidRDefault="0021316D" w:rsidP="00232C14">
      <w:pPr>
        <w:pStyle w:val="KHeading2"/>
        <w:ind w:left="1440" w:hanging="720"/>
      </w:pPr>
      <w:r w:rsidRPr="00BA00F4">
        <w:rPr>
          <w:u w:val="single"/>
        </w:rPr>
        <w:t>Waiver of Subrogation</w:t>
      </w:r>
      <w:r w:rsidRPr="00BA00F4">
        <w:t xml:space="preserve">. The insurance required under Section </w:t>
      </w:r>
      <w:r w:rsidR="005949B3">
        <w:t>11</w:t>
      </w:r>
      <w:r w:rsidR="00AC02E6">
        <w:t>.</w:t>
      </w:r>
      <w:r w:rsidRPr="00BA00F4">
        <w:t xml:space="preserve"> </w:t>
      </w:r>
      <w:r w:rsidR="00EC1525">
        <w:t>shall</w:t>
      </w:r>
      <w:r w:rsidRPr="00BA00F4">
        <w:t xml:space="preserve"> include a provision waiving the insurer’s rights of recovery or subrogation against Citizens.</w:t>
      </w:r>
    </w:p>
    <w:p w14:paraId="07CF2FC6" w14:textId="77777777" w:rsidR="0021316D" w:rsidRPr="00A9369E" w:rsidRDefault="0021316D" w:rsidP="00232C14">
      <w:pPr>
        <w:pStyle w:val="KHeading2"/>
        <w:ind w:left="1440" w:hanging="720"/>
      </w:pPr>
      <w:r w:rsidRPr="00BA00F4">
        <w:rPr>
          <w:u w:val="single"/>
        </w:rPr>
        <w:t>Coverage for Indemnity Obligations</w:t>
      </w:r>
      <w:r w:rsidRPr="00BA00F4">
        <w:t xml:space="preserve">. The </w:t>
      </w:r>
      <w:r w:rsidR="00C06D65">
        <w:t>Commercial General Liability</w:t>
      </w:r>
      <w:r w:rsidRPr="00BA00F4">
        <w:t>, Auto Liability</w:t>
      </w:r>
      <w:r w:rsidR="00E80255">
        <w:t>, Umbrella Liability</w:t>
      </w:r>
      <w:r w:rsidR="00C06D65">
        <w:t>,</w:t>
      </w:r>
      <w:r w:rsidRPr="00BA00F4">
        <w:t xml:space="preserve"> and Professional Liability</w:t>
      </w:r>
      <w:r w:rsidR="00167EAE" w:rsidRPr="00BA00F4">
        <w:t xml:space="preserve"> </w:t>
      </w:r>
      <w:r w:rsidRPr="00BA00F4">
        <w:t xml:space="preserve">coverages </w:t>
      </w:r>
      <w:r w:rsidR="00EC1525">
        <w:t>shall</w:t>
      </w:r>
      <w:r w:rsidRPr="00BA00F4">
        <w:t xml:space="preserve"> </w:t>
      </w:r>
      <w:r w:rsidRPr="00A9369E">
        <w:t>cover claims made under the indemnity provisions of this Agreement.</w:t>
      </w:r>
    </w:p>
    <w:p w14:paraId="326877A7" w14:textId="77777777" w:rsidR="0021316D" w:rsidRPr="00A9369E" w:rsidRDefault="0021316D" w:rsidP="00232C14">
      <w:pPr>
        <w:pStyle w:val="KHeading2"/>
        <w:ind w:left="1440" w:hanging="720"/>
      </w:pPr>
      <w:r w:rsidRPr="00A9369E">
        <w:rPr>
          <w:u w:val="single"/>
        </w:rPr>
        <w:t>Notice of Cancellation or Change</w:t>
      </w:r>
      <w:r w:rsidRPr="009E7323">
        <w:t xml:space="preserve">. To the extent practicable, the </w:t>
      </w:r>
      <w:r w:rsidR="00C06D65">
        <w:t>Commercial General Liability</w:t>
      </w:r>
      <w:r w:rsidRPr="009E7323">
        <w:t xml:space="preserve"> and Professional Liability policies shall </w:t>
      </w:r>
      <w:r w:rsidRPr="00C06D65">
        <w:t>require thirty (30) calendar days</w:t>
      </w:r>
      <w:r w:rsidRPr="00C33EC9">
        <w:t xml:space="preserve"> </w:t>
      </w:r>
      <w:r w:rsidRPr="00BA00F4">
        <w:t>prior written notice to Citizens of cancellation</w:t>
      </w:r>
      <w:r w:rsidRPr="00A9369E">
        <w:t>, non-renewal or change in any coverage, except for ten (10) calendar days prior written notice for non-payment of premium.</w:t>
      </w:r>
    </w:p>
    <w:p w14:paraId="6CC30866" w14:textId="4C0FE60C" w:rsidR="0021316D" w:rsidRPr="00A90A70" w:rsidRDefault="0021316D" w:rsidP="00232C14">
      <w:pPr>
        <w:pStyle w:val="KHeading2"/>
        <w:ind w:left="1440" w:hanging="720"/>
      </w:pPr>
      <w:r w:rsidRPr="00A9369E">
        <w:rPr>
          <w:u w:val="single"/>
        </w:rPr>
        <w:t>Proof of Coverage</w:t>
      </w:r>
      <w:r w:rsidRPr="009E7323">
        <w:t xml:space="preserve">. Within thirty (30) </w:t>
      </w:r>
      <w:r w:rsidR="00E80255">
        <w:t xml:space="preserve">calendar </w:t>
      </w:r>
      <w:r w:rsidRPr="009E7323">
        <w:t xml:space="preserve">days of execution of this Agreement, and upon renewal or reissuance of coverage thereafter, Vendor must provide current </w:t>
      </w:r>
      <w:r w:rsidR="006F1FC7">
        <w:t xml:space="preserve">and properly completed </w:t>
      </w:r>
      <w:r w:rsidRPr="009E7323">
        <w:t>in-force ce</w:t>
      </w:r>
      <w:r w:rsidRPr="004B5BC8">
        <w:t>rtificate</w:t>
      </w:r>
      <w:r w:rsidR="00E80255">
        <w:t>s</w:t>
      </w:r>
      <w:r w:rsidRPr="004B5BC8">
        <w:t xml:space="preserve"> of insurance</w:t>
      </w:r>
      <w:r w:rsidR="00C06D65">
        <w:t xml:space="preserve"> to Citizens that</w:t>
      </w:r>
      <w:r w:rsidRPr="004B5BC8">
        <w:t xml:space="preserve"> evidenc</w:t>
      </w:r>
      <w:r w:rsidR="00C06D65">
        <w:t xml:space="preserve">e </w:t>
      </w:r>
      <w:r w:rsidRPr="004B5BC8">
        <w:t>the coverage</w:t>
      </w:r>
      <w:r w:rsidR="00FF4F88">
        <w:t>s required in Section</w:t>
      </w:r>
      <w:r w:rsidR="00C06D65">
        <w:t xml:space="preserve"> </w:t>
      </w:r>
      <w:r w:rsidR="005949B3">
        <w:t>11</w:t>
      </w:r>
      <w:r w:rsidR="00FF4F88" w:rsidRPr="00F4083B">
        <w:t>. The</w:t>
      </w:r>
      <w:r w:rsidR="00FF4F88">
        <w:t xml:space="preserve"> certificates for </w:t>
      </w:r>
      <w:r w:rsidR="00C06D65">
        <w:t>Commercial General Liability</w:t>
      </w:r>
      <w:r w:rsidR="00FF4F88">
        <w:t>, Umbrella Liability and Professional Liability insurance certificates must correctly identify the type of work Vendor is providing to Citizens under this Agreement.</w:t>
      </w:r>
      <w:r w:rsidRPr="00A90A70">
        <w:t xml:space="preserve"> </w:t>
      </w:r>
      <w:r w:rsidR="006F1FC7">
        <w:t>The agent signing the certificate must hold a</w:t>
      </w:r>
      <w:r w:rsidR="0078038F">
        <w:t xml:space="preserve">n active </w:t>
      </w:r>
      <w:r w:rsidR="006F1FC7">
        <w:t>Insurance General Lines Agent license</w:t>
      </w:r>
      <w:r w:rsidR="00FF4F88">
        <w:t xml:space="preserve"> (issued within the United States)</w:t>
      </w:r>
      <w:r w:rsidR="006F1FC7">
        <w:t xml:space="preserve">. </w:t>
      </w:r>
      <w:r w:rsidRPr="00A90A70">
        <w:t>Vendor shall provide copies of its policies upon request by Citizens.</w:t>
      </w:r>
    </w:p>
    <w:p w14:paraId="11261CE1"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vanish/>
          <w:sz w:val="22"/>
          <w:szCs w:val="22"/>
          <w:u w:val="single"/>
        </w:rPr>
      </w:pPr>
    </w:p>
    <w:p w14:paraId="7E2EA5E6"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5E9F514E"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20FEF4C8"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7A69DD1F" w14:textId="77777777" w:rsidR="001856DB" w:rsidRPr="00C33EC9" w:rsidRDefault="001856DB" w:rsidP="009D6B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4A54DBA8" w14:textId="77777777" w:rsidR="001856DB" w:rsidRPr="00C33EC9" w:rsidRDefault="001856DB" w:rsidP="009D6B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347B9D5D" w14:textId="77777777" w:rsidR="001856DB" w:rsidRPr="00C33EC9" w:rsidRDefault="001856DB" w:rsidP="009D6B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66978883" w14:textId="77777777" w:rsidR="00C779A2" w:rsidRPr="00C33EC9" w:rsidRDefault="00C779A2" w:rsidP="006510D9">
      <w:pPr>
        <w:pStyle w:val="KHeading1"/>
      </w:pPr>
      <w:r w:rsidRPr="00232C14">
        <w:rPr>
          <w:b/>
          <w:u w:val="single"/>
        </w:rPr>
        <w:t>Contract Administration</w:t>
      </w:r>
      <w:r w:rsidRPr="00C33EC9">
        <w:fldChar w:fldCharType="begin"/>
      </w:r>
      <w:r w:rsidRPr="00C33EC9">
        <w:instrText xml:space="preserve"> TC "</w:instrText>
      </w:r>
      <w:bookmarkStart w:id="6" w:name="_Toc520903740"/>
      <w:r w:rsidRPr="00C33EC9">
        <w:instrText>Contract Administration</w:instrText>
      </w:r>
      <w:bookmarkEnd w:id="6"/>
      <w:r w:rsidRPr="00C33EC9">
        <w:instrText xml:space="preserve">" \f C \l "1" </w:instrText>
      </w:r>
      <w:r w:rsidRPr="00C33EC9">
        <w:fldChar w:fldCharType="end"/>
      </w:r>
      <w:r w:rsidRPr="00C33EC9">
        <w:t>.</w:t>
      </w:r>
    </w:p>
    <w:p w14:paraId="5E5CF303" w14:textId="4E1F2009" w:rsidR="00C779A2" w:rsidRPr="00C33EC9" w:rsidRDefault="00C779A2" w:rsidP="006C5B58">
      <w:pPr>
        <w:pStyle w:val="KHeading2"/>
        <w:numPr>
          <w:ilvl w:val="1"/>
          <w:numId w:val="25"/>
        </w:numPr>
        <w:ind w:left="1440" w:hanging="720"/>
      </w:pPr>
      <w:r w:rsidRPr="00F97200">
        <w:rPr>
          <w:u w:val="single"/>
        </w:rPr>
        <w:t>Contract Administrator</w:t>
      </w:r>
      <w:r w:rsidRPr="00C33EC9">
        <w:t xml:space="preserve">. Citizens shall name a Contract Administrator during the term of this </w:t>
      </w:r>
      <w:r>
        <w:t>Agreement</w:t>
      </w:r>
      <w:r w:rsidRPr="00C33EC9">
        <w:t xml:space="preserve"> whose responsibility shall be to maintain this </w:t>
      </w:r>
      <w:r>
        <w:t xml:space="preserve">Agreement. Except for written </w:t>
      </w:r>
      <w:r w:rsidRPr="00C33EC9">
        <w:t>notices</w:t>
      </w:r>
      <w:r>
        <w:t xml:space="preserve"> not otherwise specifically required to be delivered to the Citizens’ Contract Manager or designee (such as those relating to background checks, invoicing, data security requirements and subcontractors), all written notices shall be delivered to the Contract Administrator</w:t>
      </w:r>
      <w:r w:rsidRPr="00C33EC9">
        <w:t xml:space="preserve"> in addition to the Citizens Contract Manager named below. As of the </w:t>
      </w:r>
      <w:r>
        <w:t>E</w:t>
      </w:r>
      <w:r w:rsidRPr="00C33EC9">
        <w:t xml:space="preserve">ffective </w:t>
      </w:r>
      <w:r>
        <w:t>D</w:t>
      </w:r>
      <w:r w:rsidRPr="00C33EC9">
        <w:t>ate, the Contract Administrator is:</w:t>
      </w:r>
    </w:p>
    <w:p w14:paraId="2EE3A9BC" w14:textId="77777777" w:rsidR="00C779A2" w:rsidRPr="00C33EC9" w:rsidRDefault="00C779A2" w:rsidP="00C779A2">
      <w:pPr>
        <w:spacing w:line="240" w:lineRule="auto"/>
        <w:ind w:left="2160"/>
        <w:rPr>
          <w:rFonts w:ascii="Arial" w:hAnsi="Arial" w:cs="Arial"/>
          <w:color w:val="000000"/>
          <w:sz w:val="22"/>
          <w:szCs w:val="22"/>
        </w:rPr>
      </w:pPr>
      <w:r w:rsidRPr="00C33EC9">
        <w:rPr>
          <w:rFonts w:ascii="Arial" w:hAnsi="Arial" w:cs="Arial"/>
          <w:color w:val="000000"/>
          <w:sz w:val="22"/>
          <w:szCs w:val="22"/>
        </w:rPr>
        <w:t xml:space="preserve">Lori Newman, </w:t>
      </w:r>
      <w:r>
        <w:rPr>
          <w:rFonts w:ascii="Arial" w:hAnsi="Arial" w:cs="Arial"/>
          <w:color w:val="000000"/>
          <w:sz w:val="22"/>
          <w:szCs w:val="22"/>
        </w:rPr>
        <w:t>Vendor Management Office</w:t>
      </w:r>
    </w:p>
    <w:p w14:paraId="6EF35D7F" w14:textId="77777777" w:rsidR="00C779A2" w:rsidRPr="00C33EC9" w:rsidRDefault="00C779A2" w:rsidP="00C779A2">
      <w:pPr>
        <w:spacing w:line="240" w:lineRule="auto"/>
        <w:ind w:left="2160"/>
        <w:rPr>
          <w:rFonts w:ascii="Arial" w:hAnsi="Arial" w:cs="Arial"/>
          <w:color w:val="000000"/>
          <w:sz w:val="22"/>
          <w:szCs w:val="22"/>
        </w:rPr>
      </w:pPr>
      <w:r>
        <w:rPr>
          <w:rFonts w:ascii="Arial" w:hAnsi="Arial" w:cs="Arial"/>
          <w:color w:val="000000"/>
          <w:sz w:val="22"/>
          <w:szCs w:val="22"/>
        </w:rPr>
        <w:t>301 W Bay Street, Suite 1300</w:t>
      </w:r>
    </w:p>
    <w:p w14:paraId="0956C6ED" w14:textId="77777777" w:rsidR="00C779A2" w:rsidRPr="00C33EC9" w:rsidRDefault="00C779A2" w:rsidP="00C779A2">
      <w:pPr>
        <w:spacing w:line="240" w:lineRule="auto"/>
        <w:ind w:left="2160"/>
        <w:rPr>
          <w:rFonts w:ascii="Arial" w:hAnsi="Arial" w:cs="Arial"/>
          <w:color w:val="000000"/>
          <w:sz w:val="22"/>
          <w:szCs w:val="22"/>
        </w:rPr>
      </w:pPr>
      <w:r>
        <w:rPr>
          <w:rFonts w:ascii="Arial" w:hAnsi="Arial" w:cs="Arial"/>
          <w:color w:val="000000"/>
          <w:sz w:val="22"/>
          <w:szCs w:val="22"/>
        </w:rPr>
        <w:t>Jacksonville, Florida 32202</w:t>
      </w:r>
    </w:p>
    <w:p w14:paraId="611A3A40" w14:textId="77777777" w:rsidR="00C779A2" w:rsidRPr="00C33EC9" w:rsidRDefault="00C779A2" w:rsidP="00C779A2">
      <w:pPr>
        <w:spacing w:line="240" w:lineRule="auto"/>
        <w:ind w:left="2160"/>
        <w:rPr>
          <w:rFonts w:ascii="Arial" w:hAnsi="Arial" w:cs="Arial"/>
          <w:color w:val="000000"/>
          <w:sz w:val="22"/>
          <w:szCs w:val="22"/>
        </w:rPr>
      </w:pPr>
      <w:r>
        <w:rPr>
          <w:rFonts w:ascii="Arial" w:hAnsi="Arial" w:cs="Arial"/>
          <w:color w:val="000000"/>
          <w:sz w:val="22"/>
          <w:szCs w:val="22"/>
        </w:rPr>
        <w:t>904-407-0225</w:t>
      </w:r>
    </w:p>
    <w:p w14:paraId="4639A661" w14:textId="77777777" w:rsidR="00C779A2" w:rsidRPr="00C33EC9" w:rsidRDefault="00F20724" w:rsidP="00C779A2">
      <w:pPr>
        <w:spacing w:line="240" w:lineRule="auto"/>
        <w:ind w:left="2160"/>
        <w:rPr>
          <w:rFonts w:ascii="Arial" w:hAnsi="Arial" w:cs="Arial"/>
          <w:sz w:val="22"/>
          <w:szCs w:val="22"/>
        </w:rPr>
      </w:pPr>
      <w:hyperlink r:id="rId12" w:history="1">
        <w:r w:rsidR="00C779A2" w:rsidRPr="00C33EC9">
          <w:rPr>
            <w:rStyle w:val="Hyperlink"/>
            <w:rFonts w:ascii="Arial" w:hAnsi="Arial" w:cs="Arial"/>
            <w:sz w:val="22"/>
            <w:szCs w:val="22"/>
          </w:rPr>
          <w:t>Lori.Newman@citizensfla.com</w:t>
        </w:r>
      </w:hyperlink>
    </w:p>
    <w:p w14:paraId="2CB0BE1E" w14:textId="77777777" w:rsidR="00C779A2" w:rsidRPr="00C33EC9" w:rsidRDefault="00C779A2" w:rsidP="00C779A2">
      <w:pPr>
        <w:spacing w:line="240" w:lineRule="auto"/>
        <w:ind w:left="2160"/>
        <w:rPr>
          <w:rFonts w:ascii="Arial" w:hAnsi="Arial" w:cs="Arial"/>
          <w:sz w:val="22"/>
          <w:szCs w:val="22"/>
        </w:rPr>
      </w:pPr>
    </w:p>
    <w:p w14:paraId="137A4770" w14:textId="77777777" w:rsidR="00C779A2" w:rsidRPr="00C33EC9" w:rsidRDefault="00C779A2" w:rsidP="00C779A2">
      <w:pPr>
        <w:widowControl/>
        <w:adjustRightInd/>
        <w:spacing w:line="240" w:lineRule="auto"/>
        <w:ind w:left="1440"/>
        <w:textAlignment w:val="auto"/>
      </w:pPr>
      <w:r w:rsidRPr="00C33EC9">
        <w:rPr>
          <w:rFonts w:ascii="Arial" w:hAnsi="Arial" w:cs="Arial"/>
          <w:sz w:val="22"/>
          <w:szCs w:val="22"/>
        </w:rPr>
        <w:t xml:space="preserve">Citizens shall provide written notice to Vendor of any changes to the Contract Administrator; such changes shall not be deemed </w:t>
      </w:r>
      <w:r>
        <w:rPr>
          <w:rFonts w:ascii="Arial" w:hAnsi="Arial" w:cs="Arial"/>
          <w:sz w:val="22"/>
          <w:szCs w:val="22"/>
        </w:rPr>
        <w:t>Agreement</w:t>
      </w:r>
      <w:r w:rsidRPr="00C33EC9">
        <w:rPr>
          <w:rFonts w:ascii="Arial" w:hAnsi="Arial" w:cs="Arial"/>
          <w:sz w:val="22"/>
          <w:szCs w:val="22"/>
        </w:rPr>
        <w:t xml:space="preserve"> amendments.</w:t>
      </w:r>
    </w:p>
    <w:p w14:paraId="5513528D" w14:textId="77777777" w:rsidR="00C779A2" w:rsidRPr="00C33EC9" w:rsidRDefault="00C779A2" w:rsidP="00C779A2">
      <w:pPr>
        <w:pStyle w:val="ListParagraph"/>
        <w:widowControl/>
        <w:numPr>
          <w:ilvl w:val="1"/>
          <w:numId w:val="3"/>
        </w:numPr>
        <w:tabs>
          <w:tab w:val="left" w:pos="720"/>
        </w:tabs>
        <w:adjustRightInd/>
        <w:spacing w:after="120" w:line="240" w:lineRule="auto"/>
        <w:contextualSpacing w:val="0"/>
        <w:textAlignment w:val="auto"/>
        <w:rPr>
          <w:rFonts w:ascii="Arial" w:hAnsi="Arial" w:cs="Arial"/>
          <w:vanish/>
          <w:sz w:val="22"/>
          <w:szCs w:val="22"/>
          <w:u w:val="single"/>
        </w:rPr>
      </w:pPr>
    </w:p>
    <w:p w14:paraId="6152D445" w14:textId="77777777" w:rsidR="00C779A2" w:rsidRPr="00C33EC9" w:rsidRDefault="00C779A2" w:rsidP="006510D9">
      <w:pPr>
        <w:pStyle w:val="KHeading2"/>
        <w:numPr>
          <w:ilvl w:val="1"/>
          <w:numId w:val="14"/>
        </w:numPr>
        <w:ind w:left="1440" w:hanging="720"/>
      </w:pPr>
      <w:r w:rsidRPr="00232C14">
        <w:rPr>
          <w:u w:val="single"/>
        </w:rPr>
        <w:t>Contract Managers</w:t>
      </w:r>
      <w:r w:rsidRPr="00DC0FA3">
        <w:t>.</w:t>
      </w:r>
      <w:r>
        <w:t xml:space="preserve"> </w:t>
      </w:r>
      <w:r w:rsidRPr="00C33EC9">
        <w:t xml:space="preserve">Each Party will designate a Contract Manager during the term of this </w:t>
      </w:r>
      <w:r>
        <w:t>Agreement</w:t>
      </w:r>
      <w:r w:rsidRPr="00C33EC9">
        <w:t xml:space="preserve"> whose responsibility shall be to oversee the Party's performance of its duties and </w:t>
      </w:r>
      <w:r>
        <w:t xml:space="preserve">operational </w:t>
      </w:r>
      <w:r w:rsidRPr="00C33EC9">
        <w:t xml:space="preserve">obligations pursuant to the terms of this </w:t>
      </w:r>
      <w:r>
        <w:t xml:space="preserve">Agreement. </w:t>
      </w:r>
      <w:r w:rsidRPr="00C33EC9">
        <w:t xml:space="preserve">As of the </w:t>
      </w:r>
      <w:r>
        <w:t>E</w:t>
      </w:r>
      <w:r w:rsidRPr="00C33EC9">
        <w:t xml:space="preserve">ffective </w:t>
      </w:r>
      <w:r>
        <w:t>D</w:t>
      </w:r>
      <w:r w:rsidRPr="00C33EC9">
        <w:t>ate, Citizens’ and Vendor’s Contract Managers are as follows:</w:t>
      </w:r>
    </w:p>
    <w:p w14:paraId="4C259EAC" w14:textId="77777777" w:rsidR="001130D1" w:rsidRDefault="001130D1" w:rsidP="00C779A2">
      <w:pPr>
        <w:pStyle w:val="BodyText"/>
        <w:spacing w:after="0"/>
        <w:ind w:left="2160"/>
        <w:jc w:val="both"/>
        <w:rPr>
          <w:rFonts w:ascii="Arial" w:hAnsi="Arial" w:cs="Arial"/>
          <w:sz w:val="22"/>
          <w:szCs w:val="22"/>
          <w:u w:val="single"/>
        </w:rPr>
      </w:pPr>
    </w:p>
    <w:p w14:paraId="41A64E3B" w14:textId="12E3E71A" w:rsidR="00C779A2" w:rsidRPr="00C33EC9" w:rsidRDefault="00C779A2" w:rsidP="00C779A2">
      <w:pPr>
        <w:pStyle w:val="BodyText"/>
        <w:spacing w:after="0"/>
        <w:ind w:left="2160"/>
        <w:jc w:val="both"/>
        <w:rPr>
          <w:rFonts w:ascii="Arial" w:hAnsi="Arial" w:cs="Arial"/>
          <w:sz w:val="22"/>
          <w:szCs w:val="22"/>
          <w:u w:val="single"/>
        </w:rPr>
      </w:pPr>
      <w:r w:rsidRPr="00C33EC9">
        <w:rPr>
          <w:rFonts w:ascii="Arial" w:hAnsi="Arial" w:cs="Arial"/>
          <w:sz w:val="22"/>
          <w:szCs w:val="22"/>
          <w:u w:val="single"/>
        </w:rPr>
        <w:t>Citizens’ Contract Manager</w:t>
      </w:r>
    </w:p>
    <w:p w14:paraId="24140E3E" w14:textId="6604B89C" w:rsidR="00C779A2" w:rsidRPr="0044501D" w:rsidRDefault="00B94C45" w:rsidP="00C779A2">
      <w:pPr>
        <w:pStyle w:val="BodyText"/>
        <w:spacing w:after="0"/>
        <w:ind w:left="2160"/>
        <w:jc w:val="both"/>
        <w:rPr>
          <w:rFonts w:ascii="Arial" w:hAnsi="Arial" w:cs="Arial"/>
          <w:sz w:val="22"/>
          <w:szCs w:val="22"/>
        </w:rPr>
      </w:pPr>
      <w:r>
        <w:rPr>
          <w:rFonts w:ascii="Arial" w:hAnsi="Arial" w:cs="Arial"/>
          <w:sz w:val="22"/>
          <w:szCs w:val="22"/>
        </w:rPr>
        <w:t>Terrie Fishman</w:t>
      </w:r>
    </w:p>
    <w:p w14:paraId="30732E13" w14:textId="77777777" w:rsidR="00C779A2" w:rsidRPr="0044501D" w:rsidRDefault="00C779A2" w:rsidP="00C779A2">
      <w:pPr>
        <w:pStyle w:val="BodyText"/>
        <w:spacing w:after="0"/>
        <w:ind w:left="2160"/>
        <w:jc w:val="both"/>
        <w:rPr>
          <w:rFonts w:ascii="Arial" w:hAnsi="Arial" w:cs="Arial"/>
          <w:sz w:val="22"/>
          <w:szCs w:val="22"/>
        </w:rPr>
      </w:pPr>
      <w:r w:rsidRPr="0044501D">
        <w:rPr>
          <w:rFonts w:ascii="Arial" w:hAnsi="Arial" w:cs="Arial"/>
          <w:sz w:val="22"/>
          <w:szCs w:val="22"/>
        </w:rPr>
        <w:t>Citizens Property Insurance Corporation</w:t>
      </w:r>
    </w:p>
    <w:p w14:paraId="4DBB68AA" w14:textId="2D6214BC" w:rsidR="00C779A2" w:rsidRPr="0044501D" w:rsidRDefault="0044501D" w:rsidP="00C779A2">
      <w:pPr>
        <w:pStyle w:val="BodyText"/>
        <w:spacing w:after="0"/>
        <w:ind w:left="2160"/>
        <w:jc w:val="both"/>
        <w:rPr>
          <w:rFonts w:ascii="Arial" w:hAnsi="Arial" w:cs="Arial"/>
          <w:sz w:val="22"/>
          <w:szCs w:val="22"/>
        </w:rPr>
      </w:pPr>
      <w:r w:rsidRPr="0044501D">
        <w:rPr>
          <w:rFonts w:ascii="Arial" w:hAnsi="Arial" w:cs="Arial"/>
          <w:sz w:val="22"/>
          <w:szCs w:val="22"/>
        </w:rPr>
        <w:t xml:space="preserve">2101 Maryland </w:t>
      </w:r>
      <w:r>
        <w:rPr>
          <w:rFonts w:ascii="Arial" w:hAnsi="Arial" w:cs="Arial"/>
          <w:sz w:val="22"/>
          <w:szCs w:val="22"/>
        </w:rPr>
        <w:t>Circle</w:t>
      </w:r>
    </w:p>
    <w:p w14:paraId="165A8FDB" w14:textId="4AEC1BBD" w:rsidR="0044501D" w:rsidRPr="0044501D" w:rsidRDefault="0044501D" w:rsidP="00C779A2">
      <w:pPr>
        <w:pStyle w:val="BodyText"/>
        <w:spacing w:after="0"/>
        <w:ind w:left="2160"/>
        <w:jc w:val="both"/>
        <w:rPr>
          <w:rFonts w:ascii="Arial" w:hAnsi="Arial" w:cs="Arial"/>
          <w:sz w:val="22"/>
          <w:szCs w:val="22"/>
        </w:rPr>
      </w:pPr>
      <w:r w:rsidRPr="0044501D">
        <w:rPr>
          <w:rFonts w:ascii="Arial" w:hAnsi="Arial" w:cs="Arial"/>
          <w:sz w:val="22"/>
          <w:szCs w:val="22"/>
        </w:rPr>
        <w:t>Tallahassee, FL 32303</w:t>
      </w:r>
    </w:p>
    <w:p w14:paraId="27C9A62A" w14:textId="44C52F62" w:rsidR="00C779A2" w:rsidRPr="0044501D" w:rsidRDefault="00042B73" w:rsidP="00C779A2">
      <w:pPr>
        <w:pStyle w:val="BodyText"/>
        <w:spacing w:after="0"/>
        <w:ind w:left="2160"/>
        <w:jc w:val="both"/>
        <w:rPr>
          <w:rFonts w:ascii="Arial" w:hAnsi="Arial" w:cs="Arial"/>
          <w:sz w:val="22"/>
          <w:szCs w:val="22"/>
        </w:rPr>
      </w:pPr>
      <w:r>
        <w:rPr>
          <w:rFonts w:ascii="Arial" w:hAnsi="Arial" w:cs="Arial"/>
          <w:sz w:val="22"/>
          <w:szCs w:val="22"/>
        </w:rPr>
        <w:t>904-559-3791</w:t>
      </w:r>
    </w:p>
    <w:p w14:paraId="7DF8671B" w14:textId="6B70EE2E" w:rsidR="00C779A2" w:rsidRPr="0044501D" w:rsidRDefault="00B94C45" w:rsidP="00C779A2">
      <w:pPr>
        <w:pStyle w:val="BodyText"/>
        <w:spacing w:after="0"/>
        <w:ind w:left="2160"/>
        <w:jc w:val="both"/>
        <w:rPr>
          <w:rFonts w:ascii="Arial" w:hAnsi="Arial" w:cs="Arial"/>
          <w:sz w:val="22"/>
          <w:szCs w:val="22"/>
        </w:rPr>
      </w:pPr>
      <w:r>
        <w:rPr>
          <w:rFonts w:ascii="Arial" w:hAnsi="Arial" w:cs="Arial"/>
          <w:sz w:val="22"/>
          <w:szCs w:val="22"/>
        </w:rPr>
        <w:t>terrie</w:t>
      </w:r>
      <w:r w:rsidR="0044501D" w:rsidRPr="0044501D">
        <w:rPr>
          <w:rFonts w:ascii="Arial" w:hAnsi="Arial" w:cs="Arial"/>
          <w:sz w:val="22"/>
          <w:szCs w:val="22"/>
        </w:rPr>
        <w:t>.</w:t>
      </w:r>
      <w:r>
        <w:rPr>
          <w:rFonts w:ascii="Arial" w:hAnsi="Arial" w:cs="Arial"/>
          <w:sz w:val="22"/>
          <w:szCs w:val="22"/>
        </w:rPr>
        <w:t>fishman</w:t>
      </w:r>
      <w:r w:rsidR="0044501D" w:rsidRPr="0044501D">
        <w:rPr>
          <w:rFonts w:ascii="Arial" w:hAnsi="Arial" w:cs="Arial"/>
          <w:sz w:val="22"/>
          <w:szCs w:val="22"/>
        </w:rPr>
        <w:t>@citizensfla.com</w:t>
      </w:r>
    </w:p>
    <w:p w14:paraId="3D986C72" w14:textId="77777777" w:rsidR="00C779A2" w:rsidRPr="00C33EC9" w:rsidRDefault="00C779A2" w:rsidP="00C779A2">
      <w:pPr>
        <w:pStyle w:val="BodyText"/>
        <w:spacing w:after="0"/>
        <w:ind w:left="2160"/>
        <w:jc w:val="both"/>
        <w:rPr>
          <w:rFonts w:ascii="Arial" w:hAnsi="Arial" w:cs="Arial"/>
          <w:sz w:val="22"/>
          <w:szCs w:val="22"/>
          <w:u w:val="single"/>
        </w:rPr>
      </w:pPr>
    </w:p>
    <w:p w14:paraId="1B853226" w14:textId="77777777" w:rsidR="00C779A2" w:rsidRPr="00C33EC9" w:rsidRDefault="00C779A2" w:rsidP="00C779A2">
      <w:pPr>
        <w:pStyle w:val="BodyText"/>
        <w:spacing w:after="0"/>
        <w:ind w:left="2160"/>
        <w:jc w:val="both"/>
        <w:rPr>
          <w:rFonts w:ascii="Arial" w:hAnsi="Arial" w:cs="Arial"/>
          <w:sz w:val="22"/>
          <w:szCs w:val="22"/>
          <w:u w:val="single"/>
        </w:rPr>
      </w:pPr>
      <w:r w:rsidRPr="00C33EC9">
        <w:rPr>
          <w:rFonts w:ascii="Arial" w:hAnsi="Arial" w:cs="Arial"/>
          <w:sz w:val="22"/>
          <w:szCs w:val="22"/>
          <w:u w:val="single"/>
        </w:rPr>
        <w:t>Vendor’s Contract Manager</w:t>
      </w:r>
    </w:p>
    <w:p w14:paraId="5FE1A263" w14:textId="77777777" w:rsidR="00C779A2" w:rsidRPr="00C33EC9" w:rsidRDefault="00C779A2" w:rsidP="00C779A2">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[Name]</w:t>
      </w:r>
    </w:p>
    <w:p w14:paraId="6E1F8DD9" w14:textId="77777777" w:rsidR="00C779A2" w:rsidRPr="00C33EC9" w:rsidRDefault="00C779A2" w:rsidP="00C779A2">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[Company Name]</w:t>
      </w:r>
    </w:p>
    <w:p w14:paraId="4B91AE86" w14:textId="77777777" w:rsidR="00C779A2" w:rsidRPr="00C33EC9" w:rsidRDefault="00C779A2" w:rsidP="00C779A2">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[Address]</w:t>
      </w:r>
    </w:p>
    <w:p w14:paraId="2EE12BB7" w14:textId="77777777" w:rsidR="00C779A2" w:rsidRPr="00C33EC9" w:rsidRDefault="00C779A2" w:rsidP="00C779A2">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[City, State Zip]</w:t>
      </w:r>
    </w:p>
    <w:p w14:paraId="0F56C794" w14:textId="77777777" w:rsidR="00C779A2" w:rsidRPr="00C33EC9" w:rsidRDefault="00C779A2" w:rsidP="00C779A2">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 xml:space="preserve">[Phone] </w:t>
      </w:r>
    </w:p>
    <w:p w14:paraId="0F331FCE" w14:textId="77777777" w:rsidR="00C779A2" w:rsidRPr="00C33EC9" w:rsidRDefault="00C779A2" w:rsidP="00C779A2">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[Email]</w:t>
      </w:r>
    </w:p>
    <w:p w14:paraId="34762043" w14:textId="476DA9B2" w:rsidR="00C779A2" w:rsidRDefault="00C779A2" w:rsidP="00C779A2">
      <w:pPr>
        <w:pStyle w:val="KHeading1"/>
        <w:numPr>
          <w:ilvl w:val="0"/>
          <w:numId w:val="0"/>
        </w:numPr>
        <w:ind w:left="720"/>
        <w:rPr>
          <w:rFonts w:cs="Arial"/>
          <w:szCs w:val="22"/>
        </w:rPr>
      </w:pPr>
      <w:r>
        <w:rPr>
          <w:rFonts w:cs="Arial"/>
          <w:szCs w:val="22"/>
        </w:rPr>
        <w:t>Each Party</w:t>
      </w:r>
      <w:r w:rsidRPr="00C33EC9">
        <w:rPr>
          <w:rFonts w:cs="Arial"/>
          <w:szCs w:val="22"/>
        </w:rPr>
        <w:t xml:space="preserve"> shall provide </w:t>
      </w:r>
      <w:r>
        <w:rPr>
          <w:rFonts w:cs="Arial"/>
          <w:szCs w:val="22"/>
        </w:rPr>
        <w:t xml:space="preserve">prompt </w:t>
      </w:r>
      <w:r w:rsidRPr="00C33EC9">
        <w:rPr>
          <w:rFonts w:cs="Arial"/>
          <w:szCs w:val="22"/>
        </w:rPr>
        <w:t xml:space="preserve">written notice to </w:t>
      </w:r>
      <w:r>
        <w:rPr>
          <w:rFonts w:cs="Arial"/>
          <w:szCs w:val="22"/>
        </w:rPr>
        <w:t xml:space="preserve">the other Party </w:t>
      </w:r>
      <w:r w:rsidRPr="00C33EC9">
        <w:rPr>
          <w:rFonts w:cs="Arial"/>
          <w:szCs w:val="22"/>
        </w:rPr>
        <w:t>of any changes to the</w:t>
      </w:r>
      <w:r>
        <w:rPr>
          <w:rFonts w:cs="Arial"/>
          <w:szCs w:val="22"/>
        </w:rPr>
        <w:t>ir</w:t>
      </w:r>
      <w:r w:rsidRPr="00C33EC9">
        <w:rPr>
          <w:rFonts w:cs="Arial"/>
          <w:szCs w:val="22"/>
        </w:rPr>
        <w:t xml:space="preserve"> Contract Manager; such changes shall not be deemed </w:t>
      </w:r>
      <w:r>
        <w:rPr>
          <w:rFonts w:cs="Arial"/>
          <w:szCs w:val="22"/>
        </w:rPr>
        <w:t>Agreement</w:t>
      </w:r>
      <w:r w:rsidRPr="00C33EC9">
        <w:rPr>
          <w:rFonts w:cs="Arial"/>
          <w:szCs w:val="22"/>
        </w:rPr>
        <w:t xml:space="preserve"> amendments</w:t>
      </w:r>
      <w:r w:rsidR="006111DF">
        <w:rPr>
          <w:rFonts w:cs="Arial"/>
          <w:szCs w:val="22"/>
        </w:rPr>
        <w:t>.</w:t>
      </w:r>
    </w:p>
    <w:p w14:paraId="5513F6BE" w14:textId="48666641" w:rsidR="006111DF" w:rsidRPr="006510D9" w:rsidRDefault="005E4B00" w:rsidP="006111DF">
      <w:pPr>
        <w:pStyle w:val="KHeading1"/>
      </w:pPr>
      <w:r>
        <w:rPr>
          <w:rFonts w:cs="Arial"/>
          <w:b/>
          <w:szCs w:val="22"/>
          <w:u w:val="single"/>
        </w:rPr>
        <w:t>Suspension of Services; Termination; Transition Assistance</w:t>
      </w:r>
      <w:r w:rsidR="006111DF">
        <w:rPr>
          <w:rFonts w:cs="Arial"/>
          <w:b/>
          <w:szCs w:val="22"/>
        </w:rPr>
        <w:t>.</w:t>
      </w:r>
    </w:p>
    <w:p w14:paraId="54BAC54F" w14:textId="2A7FA3C5" w:rsidR="005E4B00" w:rsidRPr="003E6A69" w:rsidRDefault="005E4B00" w:rsidP="003E6A69">
      <w:pPr>
        <w:pStyle w:val="KHeading2"/>
        <w:numPr>
          <w:ilvl w:val="1"/>
          <w:numId w:val="53"/>
        </w:numPr>
        <w:ind w:left="1440" w:hanging="810"/>
      </w:pPr>
      <w:r w:rsidRPr="003E6A69">
        <w:rPr>
          <w:u w:val="single"/>
        </w:rPr>
        <w:t>Temporary Suspension of Services</w:t>
      </w:r>
      <w:r w:rsidRPr="00522935">
        <w:t>. Citizens may, in its sole discretion, temporarily suspend all or certain portions of the Services at any time by provi</w:t>
      </w:r>
      <w:r>
        <w:t xml:space="preserve">ding written notice to Vendor. </w:t>
      </w:r>
      <w:r w:rsidRPr="00522935">
        <w:t>Upon receiving a suspension notice, Vendor shall cease performing the Services in accordan</w:t>
      </w:r>
      <w:r>
        <w:t xml:space="preserve">ce with the suspension notice. </w:t>
      </w:r>
      <w:r w:rsidRPr="00522935">
        <w:t xml:space="preserve">Within ninety (90) </w:t>
      </w:r>
      <w:r w:rsidRPr="00B768A6">
        <w:t>calendar</w:t>
      </w:r>
      <w:r w:rsidRPr="00522935">
        <w:t xml:space="preserve"> days after Citizens provides the suspension notice, or any longer period agreed to by Vendor, Citizens shall either: (a) issue a notice authorizing resumption of the Services, at which time the Services shall resume; or, (b) exercise its right under </w:t>
      </w:r>
      <w:r w:rsidRPr="00E95E04">
        <w:t xml:space="preserve">Section </w:t>
      </w:r>
      <w:r w:rsidR="00E95E04" w:rsidRPr="00E95E04">
        <w:t>1</w:t>
      </w:r>
      <w:r w:rsidR="005949B3">
        <w:t>3</w:t>
      </w:r>
      <w:r w:rsidRPr="00E95E04">
        <w:t xml:space="preserve">.2. </w:t>
      </w:r>
      <w:r w:rsidRPr="00522935">
        <w:t xml:space="preserve">to terminate this </w:t>
      </w:r>
      <w:r>
        <w:t>Agreement without cause.</w:t>
      </w:r>
      <w:r w:rsidRPr="00522935">
        <w:t xml:space="preserve"> Nothing in this Section allows Citizens to withhold or delay any payment for Services satisfactorily perf</w:t>
      </w:r>
      <w:r>
        <w:t xml:space="preserve">ormed prior to the suspension. </w:t>
      </w:r>
      <w:r w:rsidRPr="00522935">
        <w:t>However, Vendor shall not be entitled to any additional compensation for the suspension of</w:t>
      </w:r>
      <w:r>
        <w:t xml:space="preserve"> Services.</w:t>
      </w:r>
    </w:p>
    <w:p w14:paraId="16C04054" w14:textId="435B6EEA" w:rsidR="006111DF" w:rsidRPr="00C33EC9" w:rsidRDefault="006111DF" w:rsidP="003E6A69">
      <w:pPr>
        <w:pStyle w:val="KHeading2"/>
        <w:numPr>
          <w:ilvl w:val="1"/>
          <w:numId w:val="53"/>
        </w:numPr>
        <w:ind w:left="1440" w:hanging="720"/>
      </w:pPr>
      <w:r w:rsidRPr="003E6A69">
        <w:rPr>
          <w:u w:val="single"/>
        </w:rPr>
        <w:t>Termination without Cause</w:t>
      </w:r>
      <w:r>
        <w:t xml:space="preserve">. </w:t>
      </w:r>
      <w:r w:rsidRPr="006510D9">
        <w:t xml:space="preserve">By thirty (30) calendar days advance written notice, Citizens may terminate this Agreement in whole or in part, at its sole discretion and without the need to specify a reason for termination. The actual date of termination of this Agreement will be thirty (30) calendar </w:t>
      </w:r>
      <w:r w:rsidRPr="00C33EC9">
        <w:t>days from the date of the written notice, or as otherwise specified in Citizens’ written no</w:t>
      </w:r>
      <w:r>
        <w:t xml:space="preserve">tice (the “Termination Date”). </w:t>
      </w:r>
      <w:r w:rsidRPr="00C33EC9">
        <w:t xml:space="preserve">Where Citizens elects to terminate this </w:t>
      </w:r>
      <w:r>
        <w:t>Agreement</w:t>
      </w:r>
      <w:r w:rsidRPr="00C33EC9">
        <w:t xml:space="preserve"> in part, Vendor shall continue to provide Services on any </w:t>
      </w:r>
      <w:r>
        <w:t>portion of the Agreement</w:t>
      </w:r>
      <w:r w:rsidRPr="00C33EC9">
        <w:t xml:space="preserve"> not </w:t>
      </w:r>
      <w:r>
        <w:t xml:space="preserve">terminated. </w:t>
      </w:r>
      <w:r w:rsidRPr="00C33EC9">
        <w:t xml:space="preserve">Vendor shall be entitled to payment for Services satisfactorily performed </w:t>
      </w:r>
      <w:r>
        <w:t xml:space="preserve">and accepted by Citizens </w:t>
      </w:r>
      <w:r w:rsidRPr="00C33EC9">
        <w:t xml:space="preserve">through the Termination Date but shall not be entitled to </w:t>
      </w:r>
      <w:r>
        <w:t xml:space="preserve">charge for or </w:t>
      </w:r>
      <w:r w:rsidRPr="00C33EC9">
        <w:t xml:space="preserve">recover any </w:t>
      </w:r>
      <w:r>
        <w:t xml:space="preserve">“wind-down” costs, </w:t>
      </w:r>
      <w:r w:rsidRPr="00C33EC9">
        <w:t>cancellation charges</w:t>
      </w:r>
      <w:r>
        <w:t>,</w:t>
      </w:r>
      <w:r w:rsidRPr="00C33EC9">
        <w:t xml:space="preserve"> or damages, including lost </w:t>
      </w:r>
      <w:r w:rsidRPr="00C33EC9">
        <w:lastRenderedPageBreak/>
        <w:t>profits or reliance damages.</w:t>
      </w:r>
      <w:r>
        <w:t xml:space="preserve"> </w:t>
      </w:r>
      <w:r w:rsidRPr="00C33EC9">
        <w:t>Vendor shall not have a reciprocal right to terminate without cause; it being understood that Citizens’ payment for Services forms the consideration for Vendor not havin</w:t>
      </w:r>
      <w:r>
        <w:t xml:space="preserve">g this right. </w:t>
      </w:r>
      <w:r w:rsidRPr="00C33EC9">
        <w:t xml:space="preserve">In the event of Citizens’ termination without cause, Citizens, at Citizens’ sole election, may also require Vendor to provide the Transition </w:t>
      </w:r>
      <w:r>
        <w:t>Assistance</w:t>
      </w:r>
      <w:r w:rsidRPr="00C33EC9">
        <w:t xml:space="preserve"> as further described in this </w:t>
      </w:r>
      <w:r>
        <w:t>Agreement</w:t>
      </w:r>
      <w:r w:rsidR="003E6A69">
        <w:t>.</w:t>
      </w:r>
    </w:p>
    <w:p w14:paraId="6A2E6F0C" w14:textId="452A302E" w:rsidR="006111DF" w:rsidRDefault="006111DF" w:rsidP="006510D9">
      <w:pPr>
        <w:pStyle w:val="KHeading2"/>
        <w:numPr>
          <w:ilvl w:val="1"/>
          <w:numId w:val="14"/>
        </w:numPr>
        <w:ind w:left="1440" w:hanging="720"/>
      </w:pPr>
      <w:r w:rsidRPr="00C33EC9">
        <w:rPr>
          <w:u w:val="single"/>
        </w:rPr>
        <w:t>Termination for Cause</w:t>
      </w:r>
      <w:r w:rsidRPr="00C33EC9">
        <w:t xml:space="preserve">. Either Party may terminate this </w:t>
      </w:r>
      <w:r>
        <w:t>Agreement</w:t>
      </w:r>
      <w:r w:rsidRPr="00C33EC9">
        <w:t xml:space="preserve"> if the other Party fails to honor its material obligations</w:t>
      </w:r>
      <w:r>
        <w:t xml:space="preserve"> under this Agreement</w:t>
      </w:r>
      <w:r w:rsidRPr="00C33EC9">
        <w:t xml:space="preserve">. Unless otherwise provided herein, before terminating this </w:t>
      </w:r>
      <w:r>
        <w:t>Agreement</w:t>
      </w:r>
      <w:r w:rsidRPr="00C33EC9">
        <w:t xml:space="preserve">, the Party that believes the other Party is failing to </w:t>
      </w:r>
      <w:r>
        <w:t>perform</w:t>
      </w:r>
      <w:r w:rsidRPr="00C33EC9">
        <w:t xml:space="preserve"> this </w:t>
      </w:r>
      <w:r>
        <w:t>Agreement</w:t>
      </w:r>
      <w:r w:rsidRPr="00C33EC9">
        <w:t xml:space="preserve"> shall notify the </w:t>
      </w:r>
      <w:r>
        <w:t>breaching</w:t>
      </w:r>
      <w:r w:rsidRPr="00C33EC9">
        <w:t xml:space="preserve"> Party, in writing, of the nature of the </w:t>
      </w:r>
      <w:r>
        <w:t>breach</w:t>
      </w:r>
      <w:r w:rsidRPr="00C33EC9">
        <w:t xml:space="preserve"> and provide a reasonable time certain </w:t>
      </w:r>
      <w:r>
        <w:t>to cure</w:t>
      </w:r>
      <w:r w:rsidRPr="00C33EC9">
        <w:t xml:space="preserve"> the </w:t>
      </w:r>
      <w:r>
        <w:t>breach. The cure period will</w:t>
      </w:r>
      <w:r w:rsidRPr="00C33EC9">
        <w:t xml:space="preserve"> generally be ten (10) </w:t>
      </w:r>
      <w:r w:rsidRPr="00B768A6">
        <w:t>calendar</w:t>
      </w:r>
      <w:r w:rsidRPr="00C33EC9">
        <w:t xml:space="preserve"> days from receipt of the notice</w:t>
      </w:r>
      <w:r>
        <w:t xml:space="preserve">, provided that a cure period is not required if a cure is </w:t>
      </w:r>
      <w:r w:rsidRPr="002E15A2">
        <w:t>not feasible</w:t>
      </w:r>
      <w:r>
        <w:t xml:space="preserve"> as determined by the non-breaching Party or if the breaching Party has already been notified of the breach and given at least ten (10) </w:t>
      </w:r>
      <w:r w:rsidRPr="00B768A6">
        <w:t>calendar</w:t>
      </w:r>
      <w:r>
        <w:t xml:space="preserve"> days to correct it</w:t>
      </w:r>
      <w:r w:rsidRPr="00C33EC9">
        <w:t xml:space="preserve">. If the </w:t>
      </w:r>
      <w:r>
        <w:t>breaching</w:t>
      </w:r>
      <w:r w:rsidRPr="00C33EC9">
        <w:t xml:space="preserve"> Party does not </w:t>
      </w:r>
      <w:r>
        <w:t xml:space="preserve">cure the breach </w:t>
      </w:r>
      <w:r w:rsidRPr="00C33EC9">
        <w:t xml:space="preserve">within the time </w:t>
      </w:r>
      <w:r w:rsidRPr="002E15A2">
        <w:t>provided</w:t>
      </w:r>
      <w:r>
        <w:t xml:space="preserve"> by the non-breaching Party</w:t>
      </w:r>
      <w:r w:rsidRPr="00C33EC9">
        <w:t xml:space="preserve">, and its </w:t>
      </w:r>
      <w:r>
        <w:t>breach</w:t>
      </w:r>
      <w:r w:rsidRPr="00C33EC9">
        <w:t xml:space="preserve"> is not legally excusable, the </w:t>
      </w:r>
      <w:r>
        <w:t>non-breaching Party</w:t>
      </w:r>
      <w:r w:rsidRPr="00C33EC9">
        <w:t xml:space="preserve"> may thereafter notify the </w:t>
      </w:r>
      <w:r>
        <w:t>breaching</w:t>
      </w:r>
      <w:r w:rsidRPr="00C33EC9">
        <w:t xml:space="preserve"> </w:t>
      </w:r>
      <w:r>
        <w:t>P</w:t>
      </w:r>
      <w:r w:rsidRPr="00C33EC9">
        <w:t xml:space="preserve">arty, in writing, that it considers the </w:t>
      </w:r>
      <w:r>
        <w:t>breaching</w:t>
      </w:r>
      <w:r w:rsidRPr="00C33EC9">
        <w:t xml:space="preserve"> </w:t>
      </w:r>
      <w:r>
        <w:t>P</w:t>
      </w:r>
      <w:r w:rsidRPr="00C33EC9">
        <w:t xml:space="preserve">arty in default and may terminate this </w:t>
      </w:r>
      <w:r>
        <w:t>Agreement and pursue any remedies allowed in law or equity</w:t>
      </w:r>
      <w:r w:rsidRPr="00C33EC9">
        <w:t xml:space="preserve">. Instead of terminating this </w:t>
      </w:r>
      <w:r>
        <w:t>Agreement</w:t>
      </w:r>
      <w:r w:rsidRPr="00C33EC9">
        <w:t xml:space="preserve"> in whole, Citizens may elect to terminate this </w:t>
      </w:r>
      <w:r>
        <w:t>Agreement</w:t>
      </w:r>
      <w:r w:rsidRPr="00C33EC9">
        <w:t xml:space="preserve"> in part, in which case Vendor shall continue to provide Services on any </w:t>
      </w:r>
      <w:r>
        <w:t>portion of the Agreement</w:t>
      </w:r>
      <w:r w:rsidRPr="00C33EC9">
        <w:t xml:space="preserve"> not terminated. If after termination it is determined that Vendor was not in default, or that the default was excusable, the rights and obligations of the Parties shall be the </w:t>
      </w:r>
      <w:r w:rsidRPr="00C72211">
        <w:t xml:space="preserve">same as if the termination had been issued without cause under Section </w:t>
      </w:r>
      <w:r w:rsidR="005949B3">
        <w:t>13</w:t>
      </w:r>
      <w:r w:rsidR="00E95E04">
        <w:t>.2</w:t>
      </w:r>
      <w:r w:rsidRPr="00C72211">
        <w:t>.</w:t>
      </w:r>
    </w:p>
    <w:p w14:paraId="01E9AE76" w14:textId="77777777" w:rsidR="005E4B00" w:rsidRPr="00C33EC9" w:rsidRDefault="005E4B00" w:rsidP="005E4B00">
      <w:pPr>
        <w:pStyle w:val="KHeading2"/>
        <w:ind w:left="1440" w:hanging="720"/>
      </w:pPr>
      <w:r w:rsidRPr="003A7993">
        <w:rPr>
          <w:u w:val="single"/>
        </w:rPr>
        <w:t>Scrutinized Companies; Termination by Citizens</w:t>
      </w:r>
      <w:r>
        <w:t>. In addition to any other termination rights of Citizens as provided for in this Agreement, Citizens may, at its sole election, terminate this Agreement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3715EFF6" w14:textId="77777777" w:rsidR="005E4B00" w:rsidRPr="00C33EC9" w:rsidRDefault="005E4B00" w:rsidP="005E4B00">
      <w:pPr>
        <w:pStyle w:val="KHeading1"/>
      </w:pPr>
      <w:r w:rsidRPr="00C12FB5">
        <w:rPr>
          <w:b/>
          <w:u w:val="single"/>
        </w:rPr>
        <w:t>Disputes</w:t>
      </w:r>
      <w:r w:rsidRPr="00C33EC9">
        <w:fldChar w:fldCharType="begin"/>
      </w:r>
      <w:r w:rsidRPr="00C33EC9">
        <w:instrText xml:space="preserve"> TC "Disputes" \f C \l "1" </w:instrText>
      </w:r>
      <w:r w:rsidRPr="00C33EC9">
        <w:fldChar w:fldCharType="end"/>
      </w:r>
      <w:r w:rsidRPr="00C33EC9">
        <w:t>.</w:t>
      </w:r>
    </w:p>
    <w:p w14:paraId="5FA39226" w14:textId="77777777" w:rsidR="005E4B00" w:rsidRPr="00C33EC9" w:rsidRDefault="005E4B00" w:rsidP="005E4B00">
      <w:pPr>
        <w:pStyle w:val="KHeading2"/>
        <w:numPr>
          <w:ilvl w:val="1"/>
          <w:numId w:val="15"/>
        </w:numPr>
        <w:ind w:left="1440" w:hanging="720"/>
      </w:pPr>
      <w:r w:rsidRPr="00232C14">
        <w:rPr>
          <w:u w:val="single"/>
        </w:rPr>
        <w:t>Dispute Resolution Process</w:t>
      </w:r>
      <w:r>
        <w:t xml:space="preserve">. </w:t>
      </w:r>
      <w:r w:rsidRPr="00C12FB5">
        <w:rPr>
          <w:color w:val="000000"/>
        </w:rPr>
        <w:t>Each Party will make a good faith effort to resolve any disputes relating to this Agreement prior to commencing a legal action.  These efforts may include an offer to arrange for executive-level discussions or an offer to submit the dispute to non-binding mediation.  This section shall not apply if (</w:t>
      </w:r>
      <w:r>
        <w:rPr>
          <w:color w:val="000000"/>
        </w:rPr>
        <w:t>a</w:t>
      </w:r>
      <w:r w:rsidRPr="00C12FB5">
        <w:rPr>
          <w:color w:val="000000"/>
        </w:rPr>
        <w:t>) a Party considers the immediate commencement of a legal action for an injunction necessary to protect its interests (e.g., to protect against the improper use or disclosure of its confidential information); or, (</w:t>
      </w:r>
      <w:r>
        <w:rPr>
          <w:color w:val="000000"/>
        </w:rPr>
        <w:t>b</w:t>
      </w:r>
      <w:r w:rsidRPr="00C12FB5">
        <w:rPr>
          <w:color w:val="000000"/>
        </w:rPr>
        <w:t>) the dispute is subject to another provision in this Agreement that includes a different dispute resolution process.  For the sake of clarity, Citizens is not subject to the dispute resolution processes set forth in The Florida Administrative Procedure Act, Chapter 120, Florida Statutes.</w:t>
      </w:r>
    </w:p>
    <w:p w14:paraId="212A9738" w14:textId="77777777" w:rsidR="005E4B00" w:rsidRPr="00C33EC9" w:rsidRDefault="005E4B00" w:rsidP="005E4B00">
      <w:pPr>
        <w:pStyle w:val="KHeading2"/>
        <w:ind w:left="1440" w:hanging="720"/>
      </w:pPr>
      <w:r w:rsidRPr="00C33EC9">
        <w:rPr>
          <w:u w:val="single"/>
        </w:rPr>
        <w:t>Jurisdiction and Venue; Waiver of Jury Trial</w:t>
      </w:r>
      <w:r>
        <w:t xml:space="preserve">. </w:t>
      </w:r>
      <w:r w:rsidRPr="00C33EC9">
        <w:t xml:space="preserve">This </w:t>
      </w:r>
      <w:r>
        <w:t>Agreement</w:t>
      </w:r>
      <w:r w:rsidRPr="00C33EC9">
        <w:t xml:space="preserve"> shall be deemed to have been made in the State of Florida and shall be subject to, and governed by, the laws of the State of Florida, and no doctrine of choice of law shall be used to apply any law other tha</w:t>
      </w:r>
      <w:r>
        <w:t>n that of the State of Florida.</w:t>
      </w:r>
      <w:r w:rsidRPr="00C33EC9">
        <w:t xml:space="preserve"> Each Party hereby irrevocably </w:t>
      </w:r>
      <w:r w:rsidRPr="00C33EC9">
        <w:lastRenderedPageBreak/>
        <w:t xml:space="preserve">consents and submits to the exclusive jurisdiction of the Circuit Court of Leon County, Florida, for all purposes under this </w:t>
      </w:r>
      <w:r>
        <w:t>Agreement</w:t>
      </w:r>
      <w:r w:rsidRPr="00C33EC9">
        <w:t>, and waives any defense to the assertion of such jurisdiction based on inconvenient forum or lack of personal jurisdiction. The Parties also agree to waive any right to jury trial.</w:t>
      </w:r>
    </w:p>
    <w:p w14:paraId="0DA2D0F4" w14:textId="77777777" w:rsidR="004E0C7B" w:rsidRDefault="005E4B00" w:rsidP="004E0C7B">
      <w:pPr>
        <w:pStyle w:val="KHeading2"/>
        <w:numPr>
          <w:ilvl w:val="1"/>
          <w:numId w:val="14"/>
        </w:numPr>
        <w:ind w:left="1440" w:hanging="720"/>
      </w:pPr>
      <w:r w:rsidRPr="00C33EC9">
        <w:t xml:space="preserve">The provisions of this Section shall survive the termination of this </w:t>
      </w:r>
      <w:r>
        <w:t>Agreement</w:t>
      </w:r>
      <w:r w:rsidRPr="00C33EC9">
        <w:t>.</w:t>
      </w:r>
    </w:p>
    <w:p w14:paraId="28038C26" w14:textId="745C2275" w:rsidR="005E4B00" w:rsidRPr="004E0C7B" w:rsidRDefault="005E4B00" w:rsidP="004E0C7B">
      <w:pPr>
        <w:pStyle w:val="KHeading1"/>
        <w:rPr>
          <w:rFonts w:cs="Arial"/>
          <w:bCs/>
          <w:szCs w:val="22"/>
        </w:rPr>
      </w:pPr>
      <w:r w:rsidRPr="004E0C7B">
        <w:rPr>
          <w:b/>
          <w:u w:val="single"/>
        </w:rPr>
        <w:t>Records; Audits; Public Records Laws</w:t>
      </w:r>
      <w:r w:rsidRPr="00C33EC9">
        <w:fldChar w:fldCharType="begin"/>
      </w:r>
      <w:r w:rsidRPr="00C33EC9">
        <w:instrText xml:space="preserve"> TC "Records; Audits" \f C \l "1" </w:instrText>
      </w:r>
      <w:r w:rsidRPr="00C33EC9">
        <w:fldChar w:fldCharType="end"/>
      </w:r>
      <w:r w:rsidRPr="00C33EC9">
        <w:t>.</w:t>
      </w:r>
    </w:p>
    <w:p w14:paraId="2B246027" w14:textId="77777777" w:rsidR="005E4B00" w:rsidRPr="00C33EC9" w:rsidRDefault="005E4B00" w:rsidP="005E4B00">
      <w:pPr>
        <w:pStyle w:val="KHeading2"/>
        <w:numPr>
          <w:ilvl w:val="1"/>
          <w:numId w:val="50"/>
        </w:numPr>
        <w:ind w:left="1440" w:hanging="720"/>
      </w:pPr>
      <w:r w:rsidRPr="00232C14">
        <w:rPr>
          <w:u w:val="single"/>
        </w:rPr>
        <w:t>Record Retention</w:t>
      </w:r>
      <w:r w:rsidRPr="00C33EC9">
        <w:t xml:space="preserve">. Vendor shall retain all records relating to this </w:t>
      </w:r>
      <w:r>
        <w:t>Agreement</w:t>
      </w:r>
      <w:r w:rsidRPr="00C33EC9">
        <w:t xml:space="preserve"> for the longer of: (a) </w:t>
      </w:r>
      <w:r>
        <w:t>five</w:t>
      </w:r>
      <w:r w:rsidRPr="00C33EC9">
        <w:t xml:space="preserve"> </w:t>
      </w:r>
      <w:r>
        <w:t>(5</w:t>
      </w:r>
      <w:r w:rsidRPr="00C33EC9">
        <w:t xml:space="preserve">) years after the termination of this </w:t>
      </w:r>
      <w:r>
        <w:t>Agreement</w:t>
      </w:r>
      <w:r w:rsidRPr="00C33EC9">
        <w:t xml:space="preserve">; or, (b) the period </w:t>
      </w:r>
      <w:r>
        <w:t xml:space="preserve">specified by Citizens as necessary to comply with Florida law. </w:t>
      </w:r>
    </w:p>
    <w:p w14:paraId="2D89838C" w14:textId="73BFD2DF" w:rsidR="005E4B00" w:rsidRPr="00E43672" w:rsidRDefault="005E4B00" w:rsidP="005E4B00">
      <w:pPr>
        <w:pStyle w:val="KHeading2"/>
        <w:ind w:left="1440" w:hanging="720"/>
      </w:pPr>
      <w:r w:rsidRPr="00C33EC9">
        <w:rPr>
          <w:u w:val="single"/>
        </w:rPr>
        <w:t xml:space="preserve">Right to Audit </w:t>
      </w:r>
      <w:r>
        <w:rPr>
          <w:u w:val="single"/>
        </w:rPr>
        <w:t>and Inquire</w:t>
      </w:r>
      <w:r w:rsidRPr="00C33EC9">
        <w:t>. Citizens shall have the right to review and audit any of Vendor’s records relat</w:t>
      </w:r>
      <w:r>
        <w:t>ing</w:t>
      </w:r>
      <w:r w:rsidRPr="00C33EC9">
        <w:t xml:space="preserve"> solely to this </w:t>
      </w:r>
      <w:r>
        <w:t>Agreement</w:t>
      </w:r>
      <w:r w:rsidRPr="00C33EC9">
        <w:t xml:space="preserve">, upon written notice to Vendor of at least three (3) business days. </w:t>
      </w:r>
      <w:r>
        <w:t xml:space="preserve">Vendor also agrees to reasonably cooperate with any independent inquiries made by Citizens’ Office of Internal Audit and Office of the Inspector General. Vendor shall cooperate with the requestor and provide requested documentation in a timely manner (preferably within five (5) business days). Vendor must resolve any deficiencies discovered during an audit within ninety (90) calendar days from being reported. Citizens may extend the response time period in </w:t>
      </w:r>
      <w:proofErr w:type="gramStart"/>
      <w:r>
        <w:t>its</w:t>
      </w:r>
      <w:proofErr w:type="gramEnd"/>
      <w:r>
        <w:t xml:space="preserve"> sole discretion. Citizens has the right to conduct follow-up audits to assess Vendor’s corrective action(s). </w:t>
      </w:r>
      <w:r w:rsidRPr="00C33EC9">
        <w:t xml:space="preserve">Any entity </w:t>
      </w:r>
      <w:r>
        <w:t xml:space="preserve">performing </w:t>
      </w:r>
      <w:r w:rsidRPr="00C33EC9">
        <w:t xml:space="preserve">auditing </w:t>
      </w:r>
      <w:r>
        <w:t xml:space="preserve">services on behalf of Citizens </w:t>
      </w:r>
      <w:r w:rsidRPr="00C33EC9">
        <w:t xml:space="preserve">pursuant to this </w:t>
      </w:r>
      <w:r>
        <w:t>S</w:t>
      </w:r>
      <w:r w:rsidRPr="00C33EC9">
        <w:t>ection shall execute a non-disclosure agreement with regard to Vendor’s proprietary information, unless p</w:t>
      </w:r>
      <w:r>
        <w:t xml:space="preserve">recluded from doing so by law. Vendor shall not unreasonably delay or inhibit Citizens’ right to audit or inquire as set forth in this Section. </w:t>
      </w:r>
      <w:r w:rsidRPr="00C33EC9">
        <w:t xml:space="preserve">Vendor agrees to reimburse Citizens for the reasonable costs of investigation incurred by Citizens for investigations of Vendor’s compliance with this </w:t>
      </w:r>
      <w:r>
        <w:t>Agreement</w:t>
      </w:r>
      <w:r w:rsidRPr="00C33EC9">
        <w:t xml:space="preserve"> which result in termination for cause or in regulatory or criminal penalties in connection with performance of this </w:t>
      </w:r>
      <w:r>
        <w:t>Agreement</w:t>
      </w:r>
      <w:r w:rsidRPr="00C33EC9">
        <w:t xml:space="preserve">. Such costs shall </w:t>
      </w:r>
      <w:proofErr w:type="gramStart"/>
      <w:r w:rsidRPr="00C33EC9">
        <w:t>include, but</w:t>
      </w:r>
      <w:proofErr w:type="gramEnd"/>
      <w:r w:rsidRPr="00C33EC9">
        <w:t xml:space="preserve"> shall not be limited to: salaries of investigators, including overtime; travel and lodging expenses</w:t>
      </w:r>
      <w:r>
        <w:t>;</w:t>
      </w:r>
      <w:r w:rsidRPr="00C33EC9">
        <w:t xml:space="preserve"> expert witness </w:t>
      </w:r>
      <w:r>
        <w:t xml:space="preserve">fees; </w:t>
      </w:r>
      <w:r w:rsidRPr="00C33EC9">
        <w:t>and</w:t>
      </w:r>
      <w:r>
        <w:t>,</w:t>
      </w:r>
      <w:r w:rsidRPr="00C33EC9">
        <w:t xml:space="preserve"> documentary fees. </w:t>
      </w:r>
    </w:p>
    <w:p w14:paraId="0F88615D" w14:textId="77777777" w:rsidR="005E4B00" w:rsidRDefault="005E4B00" w:rsidP="005E4B00">
      <w:pPr>
        <w:pStyle w:val="KHeading2"/>
        <w:ind w:left="1440" w:hanging="720"/>
      </w:pPr>
      <w:r w:rsidRPr="00CF6E6D">
        <w:rPr>
          <w:u w:val="single"/>
        </w:rPr>
        <w:t>Public Records</w:t>
      </w:r>
      <w:r>
        <w:rPr>
          <w:u w:val="single"/>
        </w:rPr>
        <w:t xml:space="preserve"> Laws</w:t>
      </w:r>
      <w:r>
        <w:t xml:space="preserve">. </w:t>
      </w:r>
      <w:r w:rsidRPr="00C33EC9">
        <w:t xml:space="preserve">Vendor acknowledges that Citizens is subject to </w:t>
      </w:r>
      <w:r>
        <w:t xml:space="preserve">Florida public records laws, including </w:t>
      </w:r>
      <w:r w:rsidRPr="00C33EC9">
        <w:t xml:space="preserve">Chapter 119, Florida Statutes, </w:t>
      </w:r>
      <w:r>
        <w:t>(collectively, “Florida’s Public Records Laws”). T</w:t>
      </w:r>
      <w:r w:rsidRPr="00C33EC9">
        <w:t xml:space="preserve">herefore, any information provided to Citizens </w:t>
      </w:r>
      <w:r>
        <w:t xml:space="preserve">or maintained by Vendor in connection with this Agreement </w:t>
      </w:r>
      <w:r w:rsidRPr="00C33EC9">
        <w:t xml:space="preserve">may </w:t>
      </w:r>
      <w:r>
        <w:t xml:space="preserve">be subject to disclosure to third parties. </w:t>
      </w:r>
    </w:p>
    <w:p w14:paraId="7E0BD58B" w14:textId="77777777" w:rsidR="005E4B00" w:rsidRPr="00C33EC9" w:rsidRDefault="005E4B00" w:rsidP="005E4B00">
      <w:pPr>
        <w:pStyle w:val="KHeading3"/>
        <w:ind w:left="2160" w:hanging="720"/>
      </w:pPr>
      <w:r>
        <w:rPr>
          <w:u w:val="single"/>
        </w:rPr>
        <w:t>Protection of Vendor’s Confidential Information</w:t>
      </w:r>
      <w:r w:rsidRPr="00AB6C2E">
        <w:t xml:space="preserve">. </w:t>
      </w:r>
      <w:r w:rsidRPr="00C33EC9">
        <w:t>Section 627.351(6)(x)</w:t>
      </w:r>
      <w:proofErr w:type="gramStart"/>
      <w:r w:rsidRPr="00C33EC9">
        <w:t>1.e.</w:t>
      </w:r>
      <w:proofErr w:type="gramEnd"/>
      <w:r w:rsidRPr="00C33EC9">
        <w:t>, Florida Statutes, provides that proprietary information licensed to Citizens under a contract providing for the confidential</w:t>
      </w:r>
      <w:r>
        <w:t>ity of such information</w:t>
      </w:r>
      <w:r w:rsidRPr="00C33EC9">
        <w:t xml:space="preserve"> is confidential and exempt from the </w:t>
      </w:r>
      <w:r>
        <w:t xml:space="preserve">disclosure requirements of Florida’s Public Records Law. Other Florida Statutes allow for various protection of vendor’s trade secrets and financial </w:t>
      </w:r>
      <w:r w:rsidRPr="00B728B1">
        <w:t xml:space="preserve">information. In order to protect any information provided to Citizens that </w:t>
      </w:r>
      <w:r>
        <w:t>V</w:t>
      </w:r>
      <w:r w:rsidRPr="00B728B1">
        <w:t>endor considers to be protected from disclosure under Florida law (“Vendor</w:t>
      </w:r>
      <w:r>
        <w:t>’</w:t>
      </w:r>
      <w:r w:rsidRPr="00B728B1">
        <w:t>s Confidential Information”)</w:t>
      </w:r>
      <w:r>
        <w:t>,</w:t>
      </w:r>
      <w:r w:rsidRPr="00B728B1">
        <w:t xml:space="preserve"> Vendor should clearly label and mark each page or section containing such information as “Confidential”, “Trade Secret” or other similar designation.</w:t>
      </w:r>
      <w:r>
        <w:t xml:space="preserve"> </w:t>
      </w:r>
    </w:p>
    <w:p w14:paraId="270C2E82" w14:textId="77777777" w:rsidR="005E4B00" w:rsidRPr="00C33EC9" w:rsidRDefault="005E4B00" w:rsidP="005E4B00">
      <w:pPr>
        <w:pStyle w:val="KHeading3"/>
        <w:ind w:left="2160" w:hanging="720"/>
      </w:pPr>
      <w:r w:rsidRPr="00AB6C2E">
        <w:rPr>
          <w:u w:val="single"/>
        </w:rPr>
        <w:t>Responding to Request for Vendor</w:t>
      </w:r>
      <w:r>
        <w:rPr>
          <w:u w:val="single"/>
        </w:rPr>
        <w:t>’s</w:t>
      </w:r>
      <w:r w:rsidRPr="00AB6C2E">
        <w:rPr>
          <w:u w:val="single"/>
        </w:rPr>
        <w:t xml:space="preserve"> Confidential Information</w:t>
      </w:r>
      <w:r>
        <w:t xml:space="preserve">. </w:t>
      </w:r>
      <w:r w:rsidRPr="00C33EC9">
        <w:t xml:space="preserve">If Citizens receives a Public Records Request (“PRR”) or a request from any regulatory or legislative entity regarding Vendor’s Confidential Information, it shall promptly notify Vendor in writing. </w:t>
      </w:r>
      <w:r>
        <w:t>T</w:t>
      </w:r>
      <w:r w:rsidRPr="00C33EC9">
        <w:t>o the extent permitted by law</w:t>
      </w:r>
      <w:r>
        <w:t>,</w:t>
      </w:r>
      <w:r w:rsidRPr="00C33EC9">
        <w:t xml:space="preserve"> </w:t>
      </w:r>
      <w:r w:rsidRPr="00C33EC9">
        <w:lastRenderedPageBreak/>
        <w:t xml:space="preserve">Citizens shall not produce Vendor’s Confidential 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w:t>
      </w:r>
      <w:r>
        <w:t>c</w:t>
      </w:r>
      <w:r w:rsidRPr="00C33EC9">
        <w:t xml:space="preserve">ourt or other legal tribunal for disposition. If Vendor continues to assert in good faith that Vendor’s Confidential Information is confidential or exempt from disclosure or production pursuant to </w:t>
      </w:r>
      <w:r>
        <w:t xml:space="preserve">Florida’s Public Records Laws, </w:t>
      </w:r>
      <w:r w:rsidRPr="00C33EC9">
        <w:t xml:space="preserve">then Vendor shall be solely responsible for defending its position or seeking a judicial declaration. Nothing in this </w:t>
      </w:r>
      <w:r>
        <w:t>Agreement</w:t>
      </w:r>
      <w:r w:rsidRPr="00C33EC9">
        <w:t xml:space="preserve"> shall create an obligation or duty for Citizens to defend or justify Vendor’s position. Vendor also agrees to </w:t>
      </w:r>
      <w:r>
        <w:t>reimburse Citizens for any</w:t>
      </w:r>
      <w:r w:rsidRPr="00C33EC9">
        <w:t xml:space="preserve"> attorneys’ fees, costs, and expenses </w:t>
      </w:r>
      <w:r>
        <w:t>incurred by Citizens or awarded against Citizens in any legal proceeding in which the issue is a third party’s challenge to Vendor’s assertion of an exemption under Florida’s Public Records Laws</w:t>
      </w:r>
      <w:r w:rsidRPr="00C33EC9">
        <w:t>.</w:t>
      </w:r>
    </w:p>
    <w:p w14:paraId="1960F231" w14:textId="77777777" w:rsidR="005E4B00" w:rsidRPr="00232C14" w:rsidRDefault="005E4B00" w:rsidP="005E4B00">
      <w:pPr>
        <w:pStyle w:val="KHeading3"/>
        <w:ind w:left="2160" w:hanging="720"/>
      </w:pPr>
      <w:r w:rsidRPr="00AB6C2E">
        <w:rPr>
          <w:u w:val="single"/>
        </w:rPr>
        <w:t>Vendor’s Duty to Forward Records Requests to Citizens</w:t>
      </w:r>
      <w:r>
        <w:t xml:space="preserve">. If </w:t>
      </w:r>
      <w:r w:rsidRPr="005F17DC">
        <w:t xml:space="preserve">Vendor receives a PRR that is in any way related to this Agreement, Vendor agrees to immediately notify Citizens’ </w:t>
      </w:r>
      <w:r>
        <w:t xml:space="preserve">Records </w:t>
      </w:r>
      <w:r w:rsidRPr="005F17DC">
        <w:t xml:space="preserve">Custodian and forward the PRR to Citizens’ </w:t>
      </w:r>
      <w:r>
        <w:t xml:space="preserve">Records </w:t>
      </w:r>
      <w:r w:rsidRPr="005F17DC">
        <w:t xml:space="preserve">Custodian for logging and processing. Citizens’ </w:t>
      </w:r>
      <w:r>
        <w:t xml:space="preserve">Records </w:t>
      </w:r>
      <w:r w:rsidRPr="005F17DC">
        <w:t>Custodian</w:t>
      </w:r>
      <w:r>
        <w:t>’s</w:t>
      </w:r>
      <w:r w:rsidRPr="005F17DC">
        <w:t xml:space="preserve"> email address is: </w:t>
      </w:r>
      <w:hyperlink r:id="rId13" w:history="1">
        <w:r w:rsidRPr="00B34909">
          <w:rPr>
            <w:rStyle w:val="Hyperlink"/>
          </w:rPr>
          <w:t>Recordsrequest@citizensfla.com</w:t>
        </w:r>
      </w:hyperlink>
      <w:r w:rsidRPr="00235CF7">
        <w:t>.</w:t>
      </w:r>
      <w:r>
        <w:t xml:space="preserve"> </w:t>
      </w:r>
      <w:r w:rsidRPr="005F17DC">
        <w:t>Citizens shall be the Party responsible for coordinating the response and production to</w:t>
      </w:r>
      <w:r w:rsidRPr="00C33EC9">
        <w:t xml:space="preserve"> the PRR. Vendor shall communicate with Citizens to determine whether requested information is confidential and/or exempt from public records disclosure requirements. Vendor agrees to assist Citizens in responding to any PRR in a prompt and timely manner as r</w:t>
      </w:r>
      <w:r w:rsidRPr="00232C14">
        <w:t>equired by Florida’s Public Records Laws.</w:t>
      </w:r>
    </w:p>
    <w:p w14:paraId="373807C9" w14:textId="62C72AEB" w:rsidR="005E4B00" w:rsidRPr="00C06D65" w:rsidRDefault="005E4B00" w:rsidP="005E4B00">
      <w:pPr>
        <w:pStyle w:val="KHeading3"/>
        <w:ind w:left="2160" w:hanging="720"/>
        <w:rPr>
          <w:rFonts w:ascii="Calibri" w:hAnsi="Calibri"/>
          <w:sz w:val="28"/>
          <w:szCs w:val="28"/>
        </w:rPr>
      </w:pPr>
      <w:r w:rsidRPr="00C06D65">
        <w:rPr>
          <w:u w:val="single"/>
        </w:rPr>
        <w:t>Additional Duties</w:t>
      </w:r>
      <w:r w:rsidRPr="00C06D65">
        <w:t xml:space="preserve">. To the extent Vendor is “acting on behalf of” Citizens as provided under Section 119.011(2), Florida Statutes, Vendor must: (a) keep and maintain public records required by Citizens to perform the Services; (b) upon request of Citizens’ Records Custodian, provide Citizens with a copy of the requested records or allow the records to be inspected or copied within a reasonable time at a cost that does not exceed the cost provided in </w:t>
      </w:r>
      <w:r>
        <w:t>Chapter</w:t>
      </w:r>
      <w:r w:rsidRPr="00C06D65">
        <w:t xml:space="preserve"> 119, Florida Statutes, or as otherwise provided by law; (c) ensure that public records that are exempt or confidential and exempt from public records disclosure requirements are not disclosed except as authorized by law, for the duration of the </w:t>
      </w:r>
      <w:r>
        <w:t xml:space="preserve">term of this Agreement </w:t>
      </w:r>
      <w:r w:rsidRPr="00C06D65">
        <w:t>and following the completion of th</w:t>
      </w:r>
      <w:r>
        <w:t xml:space="preserve">is Agreement </w:t>
      </w:r>
      <w:r w:rsidRPr="00C06D65">
        <w:t xml:space="preserve">if Vendor does not transfer the records to Citizens; and, (d) </w:t>
      </w:r>
      <w:r>
        <w:t>upon completion of this</w:t>
      </w:r>
      <w:r w:rsidRPr="00C06D65">
        <w:t xml:space="preserve"> Agreement, transfer at no cost to Citizens all public records in possession of Vendor</w:t>
      </w:r>
      <w:r>
        <w:t xml:space="preserve"> or, a</w:t>
      </w:r>
      <w:r w:rsidRPr="00C06D65">
        <w:t>lternatively, Vendor may keep and maintain all records required by Citizens to perform the Services.  If Vendor transfers all public records to Citizens upon completion of th</w:t>
      </w:r>
      <w:r>
        <w:t>is</w:t>
      </w:r>
      <w:r w:rsidRPr="00C06D65">
        <w:t xml:space="preserve"> Agreement, Vendor shall destroy any duplicate public records that are exempt, or confidential and exempt from public records disclosure.  If Vendor keeps and</w:t>
      </w:r>
      <w:r w:rsidRPr="00C06D65">
        <w:rPr>
          <w:color w:val="000000"/>
        </w:rPr>
        <w:t xml:space="preserve"> maintains public records upon completion of th</w:t>
      </w:r>
      <w:r>
        <w:rPr>
          <w:color w:val="000000"/>
        </w:rPr>
        <w:t>is</w:t>
      </w:r>
      <w:r w:rsidRPr="00C06D65">
        <w:rPr>
          <w:color w:val="000000"/>
        </w:rPr>
        <w:t xml:space="preserve"> Agreement</w:t>
      </w:r>
      <w:r w:rsidRPr="00C06D65">
        <w:t>, Vendor shall meet all applicable requirements for retaining public records.  All public records stored electronically must be provided to Citizens, upon request by Citizens’ Records Custodian, in a format that is compatible with the information technology systems of Citizens.</w:t>
      </w:r>
    </w:p>
    <w:p w14:paraId="7B8F7685" w14:textId="77777777" w:rsidR="005E4B00" w:rsidRPr="00AB6C2E" w:rsidRDefault="005E4B00" w:rsidP="005E4B00">
      <w:pPr>
        <w:pStyle w:val="KHeading3"/>
        <w:numPr>
          <w:ilvl w:val="0"/>
          <w:numId w:val="0"/>
        </w:numPr>
        <w:ind w:left="2160"/>
        <w:rPr>
          <w:rFonts w:ascii="Calibri" w:hAnsi="Calibri"/>
          <w:b/>
          <w:sz w:val="28"/>
          <w:szCs w:val="28"/>
        </w:rPr>
      </w:pPr>
      <w:r w:rsidRPr="00AB6C2E">
        <w:rPr>
          <w:b/>
          <w:sz w:val="28"/>
          <w:szCs w:val="28"/>
        </w:rPr>
        <w:t>IF</w:t>
      </w:r>
      <w:r>
        <w:rPr>
          <w:color w:val="FF0000"/>
        </w:rPr>
        <w:t xml:space="preserve"> </w:t>
      </w:r>
      <w:r w:rsidRPr="008418AF">
        <w:rPr>
          <w:b/>
          <w:color w:val="000000"/>
          <w:sz w:val="28"/>
          <w:szCs w:val="28"/>
        </w:rPr>
        <w:t xml:space="preserve">VENDOR HAS QUESTIONS REGARDING THE </w:t>
      </w:r>
      <w:r w:rsidRPr="008418AF">
        <w:rPr>
          <w:b/>
          <w:color w:val="000000"/>
          <w:sz w:val="28"/>
          <w:szCs w:val="28"/>
        </w:rPr>
        <w:lastRenderedPageBreak/>
        <w:t>APPLICATION OF CHAPTER 119, FLORIDA STATUTES, TO VENDOR’S DUTY TO PROVIDE PUBLIC RECORDS RELATING TO THIS AGREEMENT, PLEASE CONTACT CITIZENS’ RECORDS CUSTODIAN AT (</w:t>
      </w:r>
      <w:proofErr w:type="spellStart"/>
      <w:r w:rsidRPr="008418AF">
        <w:rPr>
          <w:b/>
          <w:color w:val="000000"/>
          <w:sz w:val="28"/>
          <w:szCs w:val="28"/>
        </w:rPr>
        <w:t>i</w:t>
      </w:r>
      <w:proofErr w:type="spellEnd"/>
      <w:r w:rsidRPr="008418AF">
        <w:rPr>
          <w:b/>
          <w:color w:val="000000"/>
          <w:sz w:val="28"/>
          <w:szCs w:val="28"/>
        </w:rPr>
        <w:t xml:space="preserve">) (850) 521-8302; (ii) </w:t>
      </w:r>
      <w:hyperlink r:id="rId14" w:history="1">
        <w:r w:rsidRPr="00B34909">
          <w:rPr>
            <w:rStyle w:val="Hyperlink"/>
            <w:b/>
            <w:sz w:val="28"/>
            <w:szCs w:val="28"/>
          </w:rPr>
          <w:t>RECORDSREQUEST@CITIZENSFLA.COM</w:t>
        </w:r>
      </w:hyperlink>
      <w:r w:rsidRPr="008418AF">
        <w:rPr>
          <w:b/>
          <w:color w:val="000000"/>
          <w:sz w:val="28"/>
          <w:szCs w:val="28"/>
        </w:rPr>
        <w:t>; OR</w:t>
      </w:r>
      <w:r>
        <w:rPr>
          <w:b/>
          <w:color w:val="000000"/>
          <w:sz w:val="28"/>
          <w:szCs w:val="28"/>
        </w:rPr>
        <w:t>,</w:t>
      </w:r>
      <w:r w:rsidRPr="008418AF">
        <w:rPr>
          <w:b/>
          <w:color w:val="000000"/>
          <w:sz w:val="28"/>
          <w:szCs w:val="28"/>
        </w:rPr>
        <w:t xml:space="preserve">   (iii) RECORDS CUSTODIAN, CITIZENS PROPERTY INSURANCE CORPORATION, 2101 MARYLAND </w:t>
      </w:r>
      <w:r w:rsidRPr="00AB6C2E">
        <w:rPr>
          <w:b/>
          <w:sz w:val="28"/>
          <w:szCs w:val="28"/>
        </w:rPr>
        <w:t>CIRCLE, TALLAHASSEE, FL 32303.</w:t>
      </w:r>
    </w:p>
    <w:p w14:paraId="22ED57B9" w14:textId="77777777" w:rsidR="00F100F9" w:rsidRDefault="005E4B00" w:rsidP="00F100F9">
      <w:pPr>
        <w:pStyle w:val="KHeading2"/>
        <w:ind w:left="1440" w:hanging="720"/>
        <w:rPr>
          <w:color w:val="FF0000"/>
        </w:rPr>
      </w:pPr>
      <w:r>
        <w:rPr>
          <w:u w:val="single"/>
        </w:rPr>
        <w:t>Remedies</w:t>
      </w:r>
      <w:r w:rsidRPr="00861CCF">
        <w:t xml:space="preserve">. </w:t>
      </w:r>
      <w:r>
        <w:t xml:space="preserve">Vendor will hold Citizens harmless from any actions resulting from Vendor’s non-compliance with Florida’s Public Records Laws. </w:t>
      </w:r>
      <w:r w:rsidRPr="005F17DC">
        <w:t>Without limiting Citizens’ other rights of termination as further described in this Agreement, Citizens may unilaterally terminate this Agreement for refusal by Vendor to comply with this Section unless the records are exempt from Section 24(a) of Article I of the State Constitution and Section 119.07(1), Florida Statutes.</w:t>
      </w:r>
      <w:r w:rsidRPr="005F17DC">
        <w:rPr>
          <w:color w:val="FF0000"/>
        </w:rPr>
        <w:t xml:space="preserve"> </w:t>
      </w:r>
    </w:p>
    <w:p w14:paraId="06AB62BF" w14:textId="5297C1A9" w:rsidR="005E4B00" w:rsidRPr="00F100F9" w:rsidRDefault="005E4B00" w:rsidP="00F100F9">
      <w:pPr>
        <w:pStyle w:val="KHeading2"/>
        <w:ind w:left="1440" w:hanging="720"/>
        <w:rPr>
          <w:color w:val="FF0000"/>
        </w:rPr>
      </w:pPr>
      <w:r w:rsidRPr="00C33EC9">
        <w:t xml:space="preserve">The provisions of this Section shall </w:t>
      </w:r>
      <w:r>
        <w:t xml:space="preserve">survive </w:t>
      </w:r>
      <w:r w:rsidRPr="00C33EC9">
        <w:t xml:space="preserve">the termination of this </w:t>
      </w:r>
      <w:r>
        <w:t>Agreement</w:t>
      </w:r>
      <w:r w:rsidRPr="00C33EC9">
        <w:t xml:space="preserve">. </w:t>
      </w:r>
    </w:p>
    <w:p w14:paraId="70A4FABE" w14:textId="7E2A205D" w:rsidR="00F100F9" w:rsidRPr="00F100F9" w:rsidRDefault="005E4B00" w:rsidP="00F100F9">
      <w:pPr>
        <w:pStyle w:val="KHeading1"/>
        <w:rPr>
          <w:b/>
          <w:bCs/>
          <w:u w:val="single"/>
        </w:rPr>
      </w:pPr>
      <w:r w:rsidRPr="00F100F9">
        <w:rPr>
          <w:b/>
          <w:bCs/>
          <w:u w:val="single"/>
        </w:rPr>
        <w:t>Non-Disclosure of Citizens Confidential Information.</w:t>
      </w:r>
    </w:p>
    <w:p w14:paraId="0C6E3A4E" w14:textId="57E2DF76" w:rsidR="0001634D" w:rsidRPr="0001634D" w:rsidRDefault="005E4B00" w:rsidP="0001634D">
      <w:pPr>
        <w:pStyle w:val="KHeading2"/>
        <w:numPr>
          <w:ilvl w:val="1"/>
          <w:numId w:val="51"/>
        </w:numPr>
        <w:ind w:left="1440" w:hanging="720"/>
      </w:pPr>
      <w:r w:rsidRPr="005E4B00">
        <w:rPr>
          <w:u w:val="single"/>
        </w:rPr>
        <w:t>Obligation of Confidentiality</w:t>
      </w:r>
      <w:r w:rsidRPr="00FA6F7B">
        <w:t xml:space="preserve">. </w:t>
      </w:r>
      <w:r>
        <w:t xml:space="preserve">Vendor </w:t>
      </w:r>
      <w:r w:rsidRPr="00FA6F7B">
        <w:t>agree</w:t>
      </w:r>
      <w:r>
        <w:t>s</w:t>
      </w:r>
      <w:r w:rsidRPr="00FA6F7B">
        <w:t xml:space="preserve"> to</w:t>
      </w:r>
      <w:r>
        <w:t>: (a)</w:t>
      </w:r>
      <w:r w:rsidRPr="00FA6F7B">
        <w:t xml:space="preserve"> hold all Citizens Confidential Information </w:t>
      </w:r>
      <w:r w:rsidR="00CC42A4">
        <w:t xml:space="preserve">it may encounter </w:t>
      </w:r>
      <w:r w:rsidRPr="00FA6F7B">
        <w:t>in strict confidence</w:t>
      </w:r>
      <w:r>
        <w:t xml:space="preserve">; </w:t>
      </w:r>
      <w:r w:rsidR="0001634D" w:rsidRPr="0001634D">
        <w:t>(</w:t>
      </w:r>
      <w:r w:rsidR="00144858">
        <w:t>b</w:t>
      </w:r>
      <w:r w:rsidR="0001634D" w:rsidRPr="0001634D">
        <w:t>) ensure the security and confidentiality of Citizens Confidential</w:t>
      </w:r>
      <w:r w:rsidR="0001634D">
        <w:t xml:space="preserve"> </w:t>
      </w:r>
      <w:r w:rsidR="0001634D" w:rsidRPr="0001634D">
        <w:t>Information; (</w:t>
      </w:r>
      <w:r w:rsidR="00144858">
        <w:t>c</w:t>
      </w:r>
      <w:r w:rsidR="0001634D" w:rsidRPr="0001634D">
        <w:t>) protect against any anticipated threats or hazards to the security</w:t>
      </w:r>
      <w:r w:rsidR="0001634D">
        <w:t xml:space="preserve"> </w:t>
      </w:r>
      <w:r w:rsidR="0001634D" w:rsidRPr="0001634D">
        <w:t>or integrity of Citizens Confidential Information; and, (</w:t>
      </w:r>
      <w:r w:rsidR="00144858">
        <w:t>d</w:t>
      </w:r>
      <w:r w:rsidR="0001634D" w:rsidRPr="0001634D">
        <w:t>) protect against</w:t>
      </w:r>
      <w:r w:rsidR="0001634D">
        <w:t xml:space="preserve"> </w:t>
      </w:r>
      <w:r w:rsidR="0001634D" w:rsidRPr="0001634D">
        <w:t>unauthorized access to or use of Citizens Confidential Information that could cause harm or inconvenience to Citizens or any customer of Citizens</w:t>
      </w:r>
      <w:r w:rsidR="00303EA5">
        <w:t>. Vendor and Vendor staff shall not make photocopies or send facsimiles of Citizens Confidential Information.</w:t>
      </w:r>
    </w:p>
    <w:p w14:paraId="76FE5C0F" w14:textId="2CAD2F5D" w:rsidR="00AD7307" w:rsidRDefault="005E4B00" w:rsidP="00F100F9">
      <w:pPr>
        <w:pStyle w:val="KHeading2"/>
        <w:ind w:left="1440" w:hanging="720"/>
      </w:pPr>
      <w:r w:rsidRPr="00217C50">
        <w:rPr>
          <w:u w:val="single"/>
        </w:rPr>
        <w:t>Remedies</w:t>
      </w:r>
      <w:r>
        <w:t>. Vendor acknowledges that breach of Vendor's obligations under this Section 1</w:t>
      </w:r>
      <w:r w:rsidR="005949B3">
        <w:t>6</w:t>
      </w:r>
      <w:r>
        <w:t xml:space="preserve"> may give rise to irreparable injury to Citizens and Citizens' customers, which damage may be inadequately compensable in the form of monetary damages. Accordingly, Citizens may seek and obtain injunctive relief against the breach or threatened breach of the provisions of this Section </w:t>
      </w:r>
      <w:r w:rsidR="005949B3">
        <w:t>16</w:t>
      </w:r>
      <w:r>
        <w:t>, in addition to any other legal remedies which may be available, including, the immediate termination, at Citizens' sole election and without penalty to Citizens, of this Agreement in whole or in part.</w:t>
      </w:r>
    </w:p>
    <w:p w14:paraId="08F87573" w14:textId="2CE8B898" w:rsidR="005E4B00" w:rsidRPr="00F100F9" w:rsidRDefault="005E4B00" w:rsidP="00F100F9">
      <w:pPr>
        <w:pStyle w:val="KHeading2"/>
        <w:numPr>
          <w:ilvl w:val="1"/>
          <w:numId w:val="21"/>
        </w:numPr>
      </w:pPr>
      <w:r>
        <w:t>The provisions of this Section shall survive the termination of this Agreement.</w:t>
      </w:r>
    </w:p>
    <w:p w14:paraId="151548C5" w14:textId="355B41CF" w:rsidR="00A35F0B" w:rsidRPr="006510D9" w:rsidRDefault="00AF34C3" w:rsidP="006510D9">
      <w:pPr>
        <w:pStyle w:val="KHeading1"/>
        <w:rPr>
          <w:rFonts w:cs="Arial"/>
          <w:bCs/>
          <w:szCs w:val="22"/>
        </w:rPr>
      </w:pPr>
      <w:r w:rsidRPr="00A35F0B">
        <w:rPr>
          <w:rFonts w:cs="Arial"/>
          <w:b/>
          <w:szCs w:val="22"/>
          <w:u w:val="single"/>
        </w:rPr>
        <w:t>Miscellaneous</w:t>
      </w:r>
      <w:r w:rsidR="00BF480E" w:rsidRPr="00A35F0B">
        <w:rPr>
          <w:rFonts w:cs="Arial"/>
          <w:b/>
          <w:szCs w:val="22"/>
          <w:u w:val="single"/>
        </w:rPr>
        <w:fldChar w:fldCharType="begin"/>
      </w:r>
      <w:r w:rsidR="00BF480E" w:rsidRPr="00A35F0B">
        <w:rPr>
          <w:rFonts w:cs="Arial"/>
          <w:b/>
          <w:szCs w:val="22"/>
        </w:rPr>
        <w:instrText xml:space="preserve"> TC "</w:instrText>
      </w:r>
      <w:bookmarkStart w:id="7" w:name="_Toc520903745"/>
      <w:r w:rsidR="00BF480E" w:rsidRPr="00A35F0B">
        <w:rPr>
          <w:rFonts w:cs="Arial"/>
          <w:b/>
          <w:szCs w:val="22"/>
          <w:u w:val="single"/>
        </w:rPr>
        <w:instrText>Miscellaneous</w:instrText>
      </w:r>
      <w:bookmarkEnd w:id="7"/>
      <w:r w:rsidR="00BF480E" w:rsidRPr="00A35F0B">
        <w:rPr>
          <w:rFonts w:cs="Arial"/>
          <w:b/>
          <w:szCs w:val="22"/>
        </w:rPr>
        <w:instrText xml:space="preserve">" \f C \l "1" </w:instrText>
      </w:r>
      <w:r w:rsidR="00BF480E" w:rsidRPr="00A35F0B">
        <w:rPr>
          <w:rFonts w:cs="Arial"/>
          <w:b/>
          <w:szCs w:val="22"/>
          <w:u w:val="single"/>
        </w:rPr>
        <w:fldChar w:fldCharType="end"/>
      </w:r>
      <w:r w:rsidRPr="00A35F0B">
        <w:rPr>
          <w:rFonts w:cs="Arial"/>
          <w:b/>
          <w:szCs w:val="22"/>
        </w:rPr>
        <w:t>.</w:t>
      </w:r>
    </w:p>
    <w:p w14:paraId="7DDFD02B" w14:textId="67D8FB9F" w:rsidR="00AD7307" w:rsidRPr="00F100F9" w:rsidRDefault="00AD7307" w:rsidP="006510D9">
      <w:pPr>
        <w:pStyle w:val="KHeading2"/>
        <w:numPr>
          <w:ilvl w:val="1"/>
          <w:numId w:val="23"/>
        </w:numPr>
        <w:ind w:left="1440" w:hanging="720"/>
      </w:pPr>
      <w:r w:rsidRPr="00F100F9">
        <w:rPr>
          <w:u w:val="single"/>
        </w:rPr>
        <w:t>Business Continuity and Disaster Recovery Plan</w:t>
      </w:r>
      <w:r w:rsidRPr="00F100F9">
        <w:t xml:space="preserve">. Vendor shall have a viable, documented, effective and annually tested business continuity/disaster recovery strategy plan in place to mitigate the potential disruption of </w:t>
      </w:r>
      <w:r w:rsidRPr="00042B73">
        <w:t xml:space="preserve">Services. Within </w:t>
      </w:r>
      <w:r w:rsidR="00042B73" w:rsidRPr="00042B73">
        <w:t>thirty</w:t>
      </w:r>
      <w:r w:rsidRPr="00042B73">
        <w:t xml:space="preserve"> (</w:t>
      </w:r>
      <w:r w:rsidR="00042B73" w:rsidRPr="00042B73">
        <w:t>30</w:t>
      </w:r>
      <w:r w:rsidR="00101153">
        <w:t>)</w:t>
      </w:r>
      <w:r w:rsidRPr="00F100F9">
        <w:t xml:space="preserve"> calendar days of execution of the Agreement, at its own cost and expense, Vendor shall provide to </w:t>
      </w:r>
      <w:proofErr w:type="gramStart"/>
      <w:r w:rsidRPr="00F100F9">
        <w:t>Citizens</w:t>
      </w:r>
      <w:proofErr w:type="gramEnd"/>
      <w:r w:rsidRPr="00F100F9">
        <w:t xml:space="preserve"> evidence and results of its tested business continuity/disaster recovery plan and annually thereafter by April 15</w:t>
      </w:r>
      <w:r w:rsidRPr="00F100F9">
        <w:rPr>
          <w:vertAlign w:val="superscript"/>
        </w:rPr>
        <w:t>th</w:t>
      </w:r>
      <w:r w:rsidRPr="00F100F9">
        <w:t xml:space="preserve"> during the term of this Agreement</w:t>
      </w:r>
    </w:p>
    <w:p w14:paraId="7BAFD02C" w14:textId="43CBD60F" w:rsidR="006111DF" w:rsidRPr="00C33EC9" w:rsidRDefault="006111DF" w:rsidP="006510D9">
      <w:pPr>
        <w:pStyle w:val="KHeading2"/>
        <w:numPr>
          <w:ilvl w:val="1"/>
          <w:numId w:val="23"/>
        </w:numPr>
        <w:ind w:left="1440" w:hanging="720"/>
      </w:pPr>
      <w:r w:rsidRPr="006510D9">
        <w:rPr>
          <w:u w:val="single"/>
        </w:rPr>
        <w:t>Relationship of the Parties</w:t>
      </w:r>
      <w:r>
        <w:t xml:space="preserve">. </w:t>
      </w:r>
      <w:r w:rsidRPr="00C33EC9">
        <w:t xml:space="preserve">Vendor is an independent contractor with no authority </w:t>
      </w:r>
      <w:r w:rsidRPr="00C33EC9">
        <w:lastRenderedPageBreak/>
        <w:t>to contract for Citizens or in any way to bind or to commit Citizens to any agreement of any kind or to assume any liabilities of any nature in the na</w:t>
      </w:r>
      <w:r>
        <w:t>me of or on behalf of Citizens.</w:t>
      </w:r>
      <w:r w:rsidRPr="00C33EC9">
        <w:t xml:space="preserve"> Under no circumstances shall Vendor or Vendor Staff hold itself out as or be considered an agent, employee, joint </w:t>
      </w:r>
      <w:proofErr w:type="spellStart"/>
      <w:r w:rsidRPr="00C33EC9">
        <w:t>venturer</w:t>
      </w:r>
      <w:proofErr w:type="spellEnd"/>
      <w:r>
        <w:t xml:space="preserve">, or partner of Citizens. </w:t>
      </w:r>
      <w:r w:rsidRPr="00C33EC9">
        <w:t xml:space="preserve">In recognition of Vendor's status as </w:t>
      </w:r>
      <w:r>
        <w:t xml:space="preserve">an </w:t>
      </w:r>
      <w:r w:rsidRPr="00C33EC9">
        <w:t>independent contractor, Citizens shall carry no Workers' Compensation insurance or any health or accident insurance t</w:t>
      </w:r>
      <w:r>
        <w:t>o cover Vendor or Vendor Staff.</w:t>
      </w:r>
      <w:r w:rsidRPr="00C33EC9">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t xml:space="preserve">yee relationship. </w:t>
      </w:r>
      <w:r w:rsidRPr="00C33EC9">
        <w:t>Neither Vendor nor Vendor Staff shall be eligible for, participate in, or accrue any direct or indirect benefit under any other compensation, benefit, or retirement plan of Citizens.</w:t>
      </w:r>
    </w:p>
    <w:p w14:paraId="648525F2" w14:textId="078F5863" w:rsidR="006111DF" w:rsidRPr="006510D9" w:rsidRDefault="006111DF" w:rsidP="006510D9">
      <w:pPr>
        <w:pStyle w:val="KHeading2"/>
        <w:numPr>
          <w:ilvl w:val="1"/>
          <w:numId w:val="23"/>
        </w:numPr>
        <w:ind w:left="1440" w:hanging="720"/>
      </w:pPr>
      <w:r w:rsidRPr="00C33EC9">
        <w:rPr>
          <w:u w:val="single"/>
        </w:rPr>
        <w:t>Vendor Conflicts of Interests</w:t>
      </w:r>
      <w:r w:rsidRPr="00C33EC9">
        <w:t xml:space="preserve">. Vendor, and all principals in its business, must execute a </w:t>
      </w:r>
      <w:proofErr w:type="gramStart"/>
      <w:r w:rsidRPr="00C33EC9">
        <w:t>Conflict of Interest</w:t>
      </w:r>
      <w:proofErr w:type="gramEnd"/>
      <w:r w:rsidRPr="00C33EC9">
        <w:t xml:space="preserve"> Form as required by Citizens.</w:t>
      </w:r>
      <w:r>
        <w:t xml:space="preserve"> Vendor shall not have a</w:t>
      </w:r>
      <w:r w:rsidRPr="00C33EC9">
        <w:t xml:space="preserve"> relationship with a Citizens officer or employee that creates a conflict of interest. If there is the appearance of a conflict of interest, Vendor will promptly contact Citizens’ </w:t>
      </w:r>
      <w:r>
        <w:t>Contract Manag</w:t>
      </w:r>
      <w:r w:rsidRPr="00C33EC9">
        <w:t xml:space="preserve">er </w:t>
      </w:r>
      <w:r>
        <w:t xml:space="preserve">or designee </w:t>
      </w:r>
      <w:r w:rsidRPr="00C33EC9">
        <w:t>to obtain a written decision as to whether action needs to be taken to ensure a conflict does not exist or that the appearance of a conflict is not significant</w:t>
      </w:r>
      <w:r>
        <w:t>.</w:t>
      </w:r>
    </w:p>
    <w:p w14:paraId="36FCE86D" w14:textId="137026FD" w:rsidR="002D1672" w:rsidRDefault="000C6664" w:rsidP="00A35F0B">
      <w:pPr>
        <w:pStyle w:val="KHeading2"/>
        <w:ind w:left="1440" w:hanging="720"/>
      </w:pPr>
      <w:r w:rsidRPr="00A35F0B">
        <w:rPr>
          <w:u w:val="single"/>
        </w:rPr>
        <w:t>No Gifts</w:t>
      </w:r>
      <w:r w:rsidR="002D1672" w:rsidRPr="00C33EC9">
        <w:t>.</w:t>
      </w:r>
      <w:r w:rsidR="006841E0" w:rsidRPr="00C33EC9">
        <w:t xml:space="preserve"> </w:t>
      </w:r>
      <w:r w:rsidR="002D1672" w:rsidRPr="00C33EC9">
        <w:t xml:space="preserve">Vendor </w:t>
      </w:r>
      <w:r w:rsidR="00B833F9" w:rsidRPr="00C33EC9">
        <w:t>shall</w:t>
      </w:r>
      <w:r w:rsidR="002D1672" w:rsidRPr="00C33EC9">
        <w:t xml:space="preserve"> not</w:t>
      </w:r>
      <w:r w:rsidR="00A622CB">
        <w:t xml:space="preserve"> give </w:t>
      </w:r>
      <w:r w:rsidR="00A622CB" w:rsidRPr="00C33EC9">
        <w:t>a gift</w:t>
      </w:r>
      <w:r w:rsidR="00A622CB">
        <w:t xml:space="preserve"> or </w:t>
      </w:r>
      <w:r w:rsidR="00A622CB" w:rsidRPr="00C33EC9">
        <w:t>make an expenditure to or for the personal benefit of a Citizens officer or employee.</w:t>
      </w:r>
      <w:r w:rsidR="00A622CB">
        <w:t xml:space="preserve"> </w:t>
      </w:r>
    </w:p>
    <w:p w14:paraId="750619FF" w14:textId="73EFB3FE" w:rsidR="001056DC" w:rsidRDefault="001056DC" w:rsidP="00A35F0B">
      <w:pPr>
        <w:pStyle w:val="KHeading2"/>
        <w:ind w:left="1440" w:hanging="720"/>
      </w:pPr>
      <w:r w:rsidRPr="00C33EC9">
        <w:rPr>
          <w:u w:val="single"/>
        </w:rPr>
        <w:t>Convicted Vendor List</w:t>
      </w:r>
      <w:r w:rsidRPr="00776772">
        <w:t>.</w:t>
      </w:r>
      <w:r>
        <w:t xml:space="preserve"> </w:t>
      </w:r>
      <w:r w:rsidRPr="00C33EC9">
        <w:t xml:space="preserve">Vendor shall immediately notify Citizens’ Contract Manager or designee in writing if it or any of its affiliates are placed on the convicted vendor list maintained </w:t>
      </w:r>
      <w:r>
        <w:t xml:space="preserve">by the State of Florida </w:t>
      </w:r>
      <w:r w:rsidRPr="00C33EC9">
        <w:t>pursuant to Section 287.133, Florida Statutes, or on any similar list maintained by any other state or the federal government</w:t>
      </w:r>
      <w:r>
        <w:t>.</w:t>
      </w:r>
    </w:p>
    <w:p w14:paraId="509479D9" w14:textId="3BAE3CF3" w:rsidR="006111DF" w:rsidRDefault="006111DF" w:rsidP="00A35F0B">
      <w:pPr>
        <w:pStyle w:val="KHeading2"/>
        <w:ind w:left="1440" w:hanging="720"/>
      </w:pPr>
      <w:r w:rsidRPr="00C33EC9">
        <w:rPr>
          <w:u w:val="single"/>
        </w:rPr>
        <w:t>Compliance with Laws</w:t>
      </w:r>
      <w:r w:rsidRPr="00776772">
        <w:t>.</w:t>
      </w:r>
      <w:r>
        <w:t xml:space="preserve"> </w:t>
      </w:r>
      <w:r w:rsidRPr="00C33EC9">
        <w:t xml:space="preserve">Vendor and Vendor Staff will comply with all applicable laws, ordinances, rules, and regulations governing Vendor’s performance under this </w:t>
      </w:r>
      <w:r>
        <w:t xml:space="preserve">Agreement. This includes: (a) registration and annual renewal of authority to transact business in the State of Florida (via </w:t>
      </w:r>
      <w:hyperlink r:id="rId15" w:history="1">
        <w:r>
          <w:rPr>
            <w:rStyle w:val="Hyperlink"/>
          </w:rPr>
          <w:t>www.sunbiz.org</w:t>
        </w:r>
      </w:hyperlink>
      <w:r>
        <w:t>) or Vendor’s annual written attestation that such authorization is not required; and, (b) maintaining all other necessary permits or licenses from federal, state, and local regulatory/licensing authorities.</w:t>
      </w:r>
    </w:p>
    <w:p w14:paraId="424EB3AC" w14:textId="79F59F86" w:rsidR="001056DC" w:rsidRPr="004B7654" w:rsidRDefault="001056DC" w:rsidP="004B7654">
      <w:pPr>
        <w:pStyle w:val="KHeading2"/>
        <w:ind w:left="1440" w:hanging="720"/>
        <w:rPr>
          <w:u w:val="single"/>
        </w:rPr>
      </w:pPr>
      <w:r w:rsidRPr="00C33EC9">
        <w:rPr>
          <w:u w:val="single"/>
        </w:rPr>
        <w:t>Subcontracting</w:t>
      </w:r>
      <w:r w:rsidRPr="00776772">
        <w:t>.</w:t>
      </w:r>
      <w:r w:rsidRPr="00C33EC9">
        <w:t xml:space="preserve"> Vendor shall not enter into any subcontracts for the performance of the Services or assign or transfer any of its rights or obligations under this </w:t>
      </w:r>
      <w:r>
        <w:t>Agreement</w:t>
      </w:r>
      <w:r w:rsidRPr="00C33EC9">
        <w:t>, without Citizens’ prior written consent and any attempt to do so sh</w:t>
      </w:r>
      <w:r>
        <w:t>all be void and without effect.</w:t>
      </w:r>
      <w:r w:rsidRPr="00C33EC9">
        <w:t xml:space="preserve"> Vendor’s </w:t>
      </w:r>
      <w:r>
        <w:t xml:space="preserve">use of any subcontractors in the performance </w:t>
      </w:r>
      <w:r w:rsidRPr="00C33EC9">
        <w:t xml:space="preserve">of the Services shall not relieve Vendor of any of its duties or obligations under this </w:t>
      </w:r>
      <w:r>
        <w:t>Agreement</w:t>
      </w:r>
      <w:r w:rsidRPr="00C33EC9">
        <w:t xml:space="preserve">, and Vendor shall indemnify and hold Citizens harmless from any payment required to be paid to any such subcontractors.  </w:t>
      </w:r>
    </w:p>
    <w:p w14:paraId="0FE88C66" w14:textId="77777777" w:rsidR="00676D9B" w:rsidRPr="00C33EC9" w:rsidRDefault="00676D9B" w:rsidP="006510D9">
      <w:pPr>
        <w:pStyle w:val="KHeading2"/>
        <w:ind w:left="1440" w:hanging="720"/>
        <w:rPr>
          <w:u w:val="single"/>
        </w:rPr>
      </w:pPr>
      <w:r w:rsidRPr="00C33EC9">
        <w:rPr>
          <w:u w:val="single"/>
        </w:rPr>
        <w:t>Severability</w:t>
      </w:r>
      <w:r w:rsidRPr="00776772">
        <w:t>.</w:t>
      </w:r>
      <w:r>
        <w:t xml:space="preserve"> </w:t>
      </w:r>
      <w:r w:rsidRPr="00C33EC9">
        <w:t xml:space="preserve">If a court deems any provision of this </w:t>
      </w:r>
      <w:r>
        <w:t>Agreement</w:t>
      </w:r>
      <w:r w:rsidRPr="00C33EC9">
        <w:t xml:space="preserve"> void or unenforceable, that provision shall be enforced only to the extent that it is not in violation of law or is not otherwise unenforceable and all other provisions shall remain in full force and effect.</w:t>
      </w:r>
    </w:p>
    <w:p w14:paraId="675EE15F" w14:textId="77777777" w:rsidR="00676D9B" w:rsidRPr="00C33EC9" w:rsidRDefault="00676D9B" w:rsidP="006510D9">
      <w:pPr>
        <w:pStyle w:val="KHeading2"/>
        <w:ind w:left="1440" w:hanging="720"/>
        <w:rPr>
          <w:u w:val="single"/>
        </w:rPr>
      </w:pPr>
      <w:r w:rsidRPr="00C33EC9">
        <w:rPr>
          <w:u w:val="single"/>
        </w:rPr>
        <w:t>Headings</w:t>
      </w:r>
      <w:r w:rsidRPr="00776772">
        <w:t>.</w:t>
      </w:r>
      <w:r>
        <w:t xml:space="preserve"> </w:t>
      </w:r>
      <w:r w:rsidRPr="00C33EC9">
        <w:t xml:space="preserve">The sections and headings herein contained are for the purposes of identification only and shall not be considered </w:t>
      </w:r>
      <w:r>
        <w:t xml:space="preserve">as controlling </w:t>
      </w:r>
      <w:r w:rsidRPr="00C33EC9">
        <w:t xml:space="preserve">in construing this </w:t>
      </w:r>
      <w:r>
        <w:t>Agreement</w:t>
      </w:r>
      <w:r w:rsidRPr="00C33EC9">
        <w:t>.</w:t>
      </w:r>
    </w:p>
    <w:p w14:paraId="3DF8DBD1" w14:textId="0B4E490B" w:rsidR="00676D9B" w:rsidRPr="006A4AAC" w:rsidRDefault="00676D9B" w:rsidP="006510D9">
      <w:pPr>
        <w:pStyle w:val="KHeading2"/>
        <w:ind w:left="1440" w:hanging="720"/>
        <w:rPr>
          <w:rStyle w:val="Hyperlink"/>
          <w:color w:val="auto"/>
        </w:rPr>
      </w:pPr>
      <w:r w:rsidRPr="006A4AAC">
        <w:rPr>
          <w:u w:val="single"/>
        </w:rPr>
        <w:lastRenderedPageBreak/>
        <w:t>Publicity; Use of Names and Logos</w:t>
      </w:r>
      <w:r w:rsidRPr="00776772">
        <w:t>.</w:t>
      </w:r>
      <w:r w:rsidRPr="00C33EC9">
        <w:t xml:space="preserve"> </w:t>
      </w:r>
      <w:r>
        <w:t xml:space="preserve">Vendor may use Citizens’ name and logo in its marketing materials, </w:t>
      </w:r>
      <w:r w:rsidR="00BC3151">
        <w:t>website,</w:t>
      </w:r>
      <w:r>
        <w:t xml:space="preserve"> and social media to indicate that it is a participating or contracted vendor for Citizens. However, Vendor may not in any way state, imply or infer that it holds a “preferred,” “approved,” “awarded,” “selected” or otherwise special status with Citizens in any such materials. This prohibition includes, but is not limited to, the use of endorsements or quotes from Citizens officials, </w:t>
      </w:r>
      <w:proofErr w:type="gramStart"/>
      <w:r>
        <w:t>Citizens</w:t>
      </w:r>
      <w:proofErr w:type="gramEnd"/>
      <w:r>
        <w:t xml:space="preserve"> vendor scores, or any other Citizens-related materials that may directly or indirectly imply that Vendor enjoys a special or preferred status with Citizens. Citizens reserves the right to determine that its name and/or logo have been misused and to request that Vendor cease using its name and/or logo in any way it deems inappropriate. Failure to comply will result in corrective action, up to an</w:t>
      </w:r>
      <w:r w:rsidRPr="00F94F48">
        <w:t>d including contract termination. Vendor may only use the approved Citizens logo, whi</w:t>
      </w:r>
      <w:r>
        <w:t>ch may be obtained by sending a</w:t>
      </w:r>
      <w:r w:rsidRPr="00F94F48">
        <w:t xml:space="preserve"> request via email to: </w:t>
      </w:r>
      <w:hyperlink r:id="rId16" w:history="1">
        <w:r w:rsidRPr="00EF49B3">
          <w:rPr>
            <w:rStyle w:val="Hyperlink"/>
          </w:rPr>
          <w:t>newsroom@citizensfla.com</w:t>
        </w:r>
      </w:hyperlink>
      <w:r>
        <w:t xml:space="preserve">.  </w:t>
      </w:r>
    </w:p>
    <w:p w14:paraId="0F15C6C2" w14:textId="77777777" w:rsidR="00676D9B" w:rsidRPr="00B35134" w:rsidRDefault="00676D9B" w:rsidP="006510D9">
      <w:pPr>
        <w:pStyle w:val="KHeading2"/>
        <w:ind w:left="1440" w:hanging="720"/>
        <w:rPr>
          <w:u w:val="single"/>
        </w:rPr>
      </w:pPr>
      <w:r w:rsidRPr="006A4AAC">
        <w:rPr>
          <w:u w:val="single"/>
        </w:rPr>
        <w:t>Waiver</w:t>
      </w:r>
      <w:r w:rsidRPr="00776772">
        <w:t>.</w:t>
      </w:r>
      <w:r w:rsidRPr="00C33EC9">
        <w:t xml:space="preserve"> The delay or failure by a Party to exercise or enforce any of its rights under this </w:t>
      </w:r>
      <w:r>
        <w:t>Agreement</w:t>
      </w:r>
      <w:r w:rsidRPr="00C33EC9">
        <w:t xml:space="preserve"> shall not constitute or be deemed a waiver of the Party’s right thereafter to enforce those rights, nor shall any single or partial exercise of any such right preclude any other or further exercise thereof or the exercise of any other right.</w:t>
      </w:r>
    </w:p>
    <w:p w14:paraId="5176AE2F" w14:textId="77777777" w:rsidR="00676D9B" w:rsidRPr="00C33EC9" w:rsidRDefault="00676D9B" w:rsidP="006510D9">
      <w:pPr>
        <w:pStyle w:val="KHeading2"/>
        <w:ind w:left="1440" w:hanging="720"/>
        <w:rPr>
          <w:u w:val="single"/>
        </w:rPr>
      </w:pPr>
      <w:r w:rsidRPr="00C33EC9">
        <w:rPr>
          <w:u w:val="single"/>
        </w:rPr>
        <w:t>Modification of Terms</w:t>
      </w:r>
      <w:r>
        <w:t>. Except as otherwise provided for herein, t</w:t>
      </w:r>
      <w:r w:rsidRPr="00C33EC9">
        <w:t xml:space="preserve">his </w:t>
      </w:r>
      <w:r>
        <w:t>Agreement</w:t>
      </w:r>
      <w:r w:rsidRPr="00C33EC9">
        <w:t xml:space="preserve"> may only be modified or amended upon</w:t>
      </w:r>
      <w:r>
        <w:t xml:space="preserve"> a</w:t>
      </w:r>
      <w:r w:rsidRPr="00C33EC9">
        <w:t xml:space="preserve"> mutual written contract</w:t>
      </w:r>
      <w:r>
        <w:t xml:space="preserve"> amendment </w:t>
      </w:r>
      <w:r w:rsidRPr="006635EE">
        <w:t>signed by</w:t>
      </w:r>
      <w:r w:rsidRPr="00C33EC9">
        <w:t xml:space="preserve"> Citizens and Vendor or as otherwise permitted by this </w:t>
      </w:r>
      <w:r>
        <w:t xml:space="preserve">Agreement. </w:t>
      </w:r>
      <w:r w:rsidRPr="00C33EC9">
        <w:t xml:space="preserve">Vendor may not unilaterally modify the terms of this </w:t>
      </w:r>
      <w:r>
        <w:t>Agreement</w:t>
      </w:r>
      <w:r w:rsidRPr="00C33EC9">
        <w:t xml:space="preserve"> in any manner such as by affixing additional terms to any Deliverable (e.g., attachment or inclusion of standard preprinted forms, product literature, “shrink wrap” or “click through” terms, whether written or electronic) or by incorporating such terms onto Vendor’s order or fiscal forms or other documents forwarded by Vendor for payment and any such </w:t>
      </w:r>
      <w:r>
        <w:t>terms</w:t>
      </w:r>
      <w:r w:rsidRPr="00C33EC9">
        <w:t xml:space="preserve"> shall have no force or effect upon Citizens or this </w:t>
      </w:r>
      <w:r>
        <w:t>Agreement</w:t>
      </w:r>
      <w:r w:rsidRPr="00C33EC9">
        <w:t>.  Citizens' acceptance of any Service or processing of documentation on forms furnished by Vendor for approval or payment shall not constitute acceptance of any proposed modification to terms and conditions or any conflicting terms and conditions.</w:t>
      </w:r>
    </w:p>
    <w:p w14:paraId="51051345" w14:textId="37403317" w:rsidR="00676D9B" w:rsidRPr="00C33EC9" w:rsidRDefault="00676D9B" w:rsidP="006510D9">
      <w:pPr>
        <w:pStyle w:val="KHeading2"/>
        <w:ind w:left="1440" w:hanging="720"/>
        <w:rPr>
          <w:u w:val="single"/>
        </w:rPr>
      </w:pPr>
      <w:r w:rsidRPr="00C33EC9">
        <w:rPr>
          <w:u w:val="single"/>
        </w:rPr>
        <w:t>Assignments</w:t>
      </w:r>
      <w:r w:rsidRPr="00776772">
        <w:t>.</w:t>
      </w:r>
      <w:r>
        <w:t xml:space="preserve"> </w:t>
      </w:r>
      <w:r w:rsidRPr="00C33EC9">
        <w:t xml:space="preserve">This </w:t>
      </w:r>
      <w:r>
        <w:t>Agreement</w:t>
      </w:r>
      <w:r w:rsidRPr="00C33EC9">
        <w:t xml:space="preserve"> shall inure to the benefit of, and be binding upon, the successors and assigns of each Party, but only as permitted under this </w:t>
      </w:r>
      <w:r>
        <w:t>Agreement</w:t>
      </w:r>
      <w:r w:rsidRPr="00C33EC9">
        <w:t>.</w:t>
      </w:r>
      <w:r>
        <w:t xml:space="preserve"> </w:t>
      </w:r>
      <w:r w:rsidRPr="00C33EC9">
        <w:t xml:space="preserve">Each </w:t>
      </w:r>
      <w:r>
        <w:t>P</w:t>
      </w:r>
      <w:r w:rsidRPr="00C33EC9">
        <w:t xml:space="preserve">arty binds itself and its respective successors and assigns in all respects to all of the terms, conditions, </w:t>
      </w:r>
      <w:proofErr w:type="gramStart"/>
      <w:r w:rsidRPr="00C33EC9">
        <w:t>covenants</w:t>
      </w:r>
      <w:proofErr w:type="gramEnd"/>
      <w:r w:rsidRPr="00C33EC9">
        <w:t xml:space="preserve"> and provisions of this </w:t>
      </w:r>
      <w:r>
        <w:t xml:space="preserve">Agreement. </w:t>
      </w:r>
      <w:r w:rsidRPr="00C33EC9">
        <w:t xml:space="preserve">Vendor shall not sell, </w:t>
      </w:r>
      <w:r w:rsidR="00BC3151" w:rsidRPr="00C33EC9">
        <w:t>assign,</w:t>
      </w:r>
      <w:r w:rsidRPr="00C33EC9">
        <w:t xml:space="preserve"> or transfer any of its rights (including rights to payment), duties or obligations under this </w:t>
      </w:r>
      <w:r>
        <w:t>Agreement</w:t>
      </w:r>
      <w:r w:rsidRPr="00C33EC9">
        <w:t xml:space="preserve"> without the prior written consent of Citizens. In the event of any assignment, Vendor shall remain liable for performance of this </w:t>
      </w:r>
      <w:r>
        <w:t>Agreement</w:t>
      </w:r>
      <w:r w:rsidRPr="00C33EC9">
        <w:t xml:space="preserve"> unless Citizens expressly waives such liability. Citizens may assign this </w:t>
      </w:r>
      <w:r>
        <w:t>Agreement</w:t>
      </w:r>
      <w:r w:rsidRPr="00C33EC9">
        <w:t xml:space="preserve"> with prior written notice to Vendor o</w:t>
      </w:r>
      <w:r>
        <w:t xml:space="preserve">f its intent to do so. </w:t>
      </w:r>
      <w:r w:rsidRPr="00C33EC9">
        <w:t xml:space="preserve">Nothing herein shall be construed as creating any personal liability on the part of any officer, </w:t>
      </w:r>
      <w:r w:rsidR="00BC3151" w:rsidRPr="00C33EC9">
        <w:t>employee,</w:t>
      </w:r>
      <w:r w:rsidRPr="00C33EC9">
        <w:t xml:space="preserve"> or agent of Citizens.</w:t>
      </w:r>
    </w:p>
    <w:p w14:paraId="4AC121DF" w14:textId="76AC2F7A" w:rsidR="00676D9B" w:rsidRPr="00C33EC9" w:rsidRDefault="002D0C95" w:rsidP="006510D9">
      <w:pPr>
        <w:pStyle w:val="KHeading2"/>
        <w:ind w:left="1440" w:hanging="720"/>
        <w:rPr>
          <w:u w:val="single"/>
        </w:rPr>
      </w:pPr>
      <w:bookmarkStart w:id="8" w:name="_Hlk161924466"/>
      <w:r>
        <w:rPr>
          <w:u w:val="single"/>
        </w:rPr>
        <w:t xml:space="preserve">Advance </w:t>
      </w:r>
      <w:r w:rsidR="00676D9B" w:rsidRPr="00C33EC9">
        <w:rPr>
          <w:u w:val="single"/>
        </w:rPr>
        <w:t>Notice of Changes in Ownership</w:t>
      </w:r>
      <w:r w:rsidR="00676D9B">
        <w:t xml:space="preserve">. </w:t>
      </w:r>
      <w:r w:rsidR="00676D9B" w:rsidRPr="00C33EC9">
        <w:t xml:space="preserve">Because the award of this </w:t>
      </w:r>
      <w:r w:rsidR="00676D9B">
        <w:t>Agreement</w:t>
      </w:r>
      <w:r w:rsidR="00676D9B" w:rsidRPr="00C33EC9">
        <w:t xml:space="preserve"> may have been predicated upon Vendor’s ownership structure, Vendor agrees </w:t>
      </w:r>
      <w:r>
        <w:t xml:space="preserve">it will provide a minimum of </w:t>
      </w:r>
      <w:r w:rsidR="00CF5215">
        <w:t>one-hundred twenty</w:t>
      </w:r>
      <w:r>
        <w:t xml:space="preserve"> (</w:t>
      </w:r>
      <w:r w:rsidR="00CF5215">
        <w:t>120</w:t>
      </w:r>
      <w:r>
        <w:t>) calendar days advance written notice of</w:t>
      </w:r>
      <w:r w:rsidRPr="00C33EC9">
        <w:t xml:space="preserve"> </w:t>
      </w:r>
      <w:r w:rsidR="00676D9B" w:rsidRPr="00C33EC9">
        <w:t>any transfer of a substantial interest in Vendor by any of its owners</w:t>
      </w:r>
      <w:r w:rsidR="00676D9B">
        <w:t xml:space="preserve">. </w:t>
      </w:r>
      <w:r w:rsidR="00676D9B" w:rsidRPr="00C33EC9">
        <w:t xml:space="preserve">By execution of this </w:t>
      </w:r>
      <w:r w:rsidR="00676D9B">
        <w:t>Agreement</w:t>
      </w:r>
      <w:r w:rsidR="00676D9B" w:rsidRPr="00C33EC9">
        <w:t>, Vendor represents that it has no knowledge of any intent to transfer a s</w:t>
      </w:r>
      <w:r w:rsidR="00676D9B">
        <w:t xml:space="preserve">ubstantial interest in Vendor. </w:t>
      </w:r>
      <w:r w:rsidR="00676D9B" w:rsidRPr="00C33EC9">
        <w:t>A substantial interest shall mean at least twenty-five percent (25%) of the voting shares or control over</w:t>
      </w:r>
      <w:r w:rsidR="00676D9B">
        <w:t xml:space="preserve"> Vendor. </w:t>
      </w:r>
      <w:r w:rsidR="00676D9B" w:rsidRPr="00C33EC9">
        <w:t xml:space="preserve">This </w:t>
      </w:r>
      <w:r w:rsidR="00676D9B">
        <w:lastRenderedPageBreak/>
        <w:t>S</w:t>
      </w:r>
      <w:r w:rsidR="00676D9B" w:rsidRPr="00C33EC9">
        <w:t>ection shall not apply to: (a) transfers occurring upon the incapacitation or death of an owner; (b) transfers associated with an initial public offering on a major stock exchange; or</w:t>
      </w:r>
      <w:r w:rsidR="00676D9B">
        <w:t>,</w:t>
      </w:r>
      <w:r w:rsidR="00676D9B" w:rsidRPr="00C33EC9">
        <w:t xml:space="preserve"> (c) transfers to a company whose stock is publicly traded on a major stock exchange.</w:t>
      </w:r>
    </w:p>
    <w:bookmarkEnd w:id="8"/>
    <w:p w14:paraId="26651BCF" w14:textId="6F507370" w:rsidR="00676D9B" w:rsidRPr="00C33EC9" w:rsidRDefault="00676D9B" w:rsidP="006510D9">
      <w:pPr>
        <w:pStyle w:val="KHeading2"/>
        <w:ind w:left="1440" w:hanging="720"/>
      </w:pPr>
      <w:r w:rsidRPr="00C33EC9">
        <w:rPr>
          <w:u w:val="single"/>
        </w:rPr>
        <w:t>Assignment of Antitrust Clai</w:t>
      </w:r>
      <w:r w:rsidRPr="00776772">
        <w:rPr>
          <w:u w:val="single"/>
        </w:rPr>
        <w:t>ms</w:t>
      </w:r>
      <w:r>
        <w:t xml:space="preserve">. </w:t>
      </w:r>
      <w:r w:rsidRPr="00C33EC9">
        <w:t>Vendor and Citizens recognize that in actual economic practice, overcharges resulting from antitrust violations are usually b</w:t>
      </w:r>
      <w:r>
        <w:t xml:space="preserve">orne by the ultimate consumer. </w:t>
      </w:r>
      <w:r w:rsidRPr="00C33EC9">
        <w:t>Therefore, Vendor hereby assigns to Citizens any and all claims under the antitrust laws of Florida or the United States for overcharges</w:t>
      </w:r>
      <w:r>
        <w:t xml:space="preserve"> incurred</w:t>
      </w:r>
      <w:r w:rsidRPr="00C33EC9">
        <w:t xml:space="preserve"> in connection with this </w:t>
      </w:r>
      <w:r>
        <w:t>Agreement</w:t>
      </w:r>
      <w:r w:rsidR="009E14CB">
        <w:t>.</w:t>
      </w:r>
    </w:p>
    <w:p w14:paraId="667DF9C9" w14:textId="59B58E5C" w:rsidR="00594FEC" w:rsidRPr="00BF7D7F" w:rsidRDefault="00594FEC" w:rsidP="00A35F0B">
      <w:pPr>
        <w:pStyle w:val="KHeading2"/>
        <w:ind w:left="1440" w:hanging="720"/>
      </w:pPr>
      <w:r w:rsidRPr="00C33EC9">
        <w:rPr>
          <w:u w:val="single"/>
        </w:rPr>
        <w:t xml:space="preserve">Force </w:t>
      </w:r>
      <w:r w:rsidRPr="007A15BA">
        <w:rPr>
          <w:bCs w:val="0"/>
          <w:u w:val="single"/>
        </w:rPr>
        <w:t>Majeure</w:t>
      </w:r>
      <w:r w:rsidRPr="007A15BA">
        <w:rPr>
          <w:bCs w:val="0"/>
        </w:rPr>
        <w:t xml:space="preserve">. </w:t>
      </w:r>
      <w:r w:rsidRPr="00BF7D7F">
        <w:t xml:space="preserve">Neither Party shall be responsible for delays or disruptions in performance if the cause of the delay or disruption was beyond that Party’s reasonable control (or the reasonable control of its employees, subcontractors, or agents) to the extent not occasioned by the fault or negligence of the delayed or disrupted </w:t>
      </w:r>
      <w:r w:rsidR="00832E48" w:rsidRPr="00BF7D7F">
        <w:t>P</w:t>
      </w:r>
      <w:r w:rsidRPr="00BF7D7F">
        <w:t xml:space="preserve">arty. In no case </w:t>
      </w:r>
      <w:proofErr w:type="gramStart"/>
      <w:r w:rsidRPr="00BF7D7F">
        <w:t>shall</w:t>
      </w:r>
      <w:proofErr w:type="gramEnd"/>
      <w:r w:rsidRPr="00BF7D7F">
        <w:t xml:space="preserve"> Vendor’s labor matters, such as strikes or availability of subcontractors, if any, be considered a force majeure event.  Further, this Section may not be invoked to excuse or delay Vendor’s compliance with its obligations to protect Citizens Confidential Information</w:t>
      </w:r>
      <w:r w:rsidR="00F57F11">
        <w:t xml:space="preserve"> or Citizens Data</w:t>
      </w:r>
      <w:r w:rsidRPr="00BF7D7F">
        <w:t>. To be excused from delays or disruptions hereunder, Vendor must promptly notify Citizens in writing of the delay or disruption. If the delay or disruption is justified, as solely determined by Citizen, Citizens will give Vendor a reasonable extension of time to perform; provided, however, that Citizens may elect to terminate this Agreement in whole or in part if Citizens determines, in its sole judgment, that such a delay or disruption will significantly impair the value of this Agreement to Citizens. 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p>
    <w:p w14:paraId="09E47894" w14:textId="77777777"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Because of the nature of Citizens’ business, Citizens requires that Vendor take every reasonable measure to avoid or minimize any delay or disruption under this Section, including the timely activation of Vendor’s business continuity and disaster recovery plans. Where Vendor fails to undertake such efforts, the delay or disruption shall be included in the determination of any service level achievement.  </w:t>
      </w:r>
    </w:p>
    <w:p w14:paraId="1CF2871B" w14:textId="7CE90E2F"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If a </w:t>
      </w:r>
      <w:r w:rsidR="00425943" w:rsidRPr="00BF7D7F">
        <w:rPr>
          <w:rFonts w:ascii="Arial" w:hAnsi="Arial" w:cs="Arial"/>
          <w:bCs/>
          <w:sz w:val="22"/>
          <w:szCs w:val="22"/>
        </w:rPr>
        <w:t>f</w:t>
      </w:r>
      <w:r w:rsidRPr="00BF7D7F">
        <w:rPr>
          <w:rFonts w:ascii="Arial" w:hAnsi="Arial" w:cs="Arial"/>
          <w:bCs/>
          <w:sz w:val="22"/>
          <w:szCs w:val="22"/>
        </w:rPr>
        <w:t xml:space="preserve">orce </w:t>
      </w:r>
      <w:r w:rsidR="00425943" w:rsidRPr="00BF7D7F">
        <w:rPr>
          <w:rFonts w:ascii="Arial" w:hAnsi="Arial" w:cs="Arial"/>
          <w:bCs/>
          <w:sz w:val="22"/>
          <w:szCs w:val="22"/>
        </w:rPr>
        <w:t>m</w:t>
      </w:r>
      <w:r w:rsidRPr="00BF7D7F">
        <w:rPr>
          <w:rFonts w:ascii="Arial" w:hAnsi="Arial" w:cs="Arial"/>
          <w:bCs/>
          <w:sz w:val="22"/>
          <w:szCs w:val="22"/>
        </w:rPr>
        <w:t>ajeure event results in a partial reduction in Vendor’s capacity to serve its clients, Vendor agrees that Citizens will receive the same or better priority as Vendor’s other clients with respect to the allocation of Vendor’s resources.</w:t>
      </w:r>
    </w:p>
    <w:p w14:paraId="1F35D946" w14:textId="6E3753DD" w:rsidR="009D20EE" w:rsidRDefault="009D20EE" w:rsidP="00A35F0B">
      <w:pPr>
        <w:pStyle w:val="KHeading2"/>
        <w:ind w:left="1440" w:hanging="720"/>
      </w:pPr>
      <w:r w:rsidRPr="00C33EC9">
        <w:rPr>
          <w:u w:val="single"/>
        </w:rPr>
        <w:t>Execution in Counterparts</w:t>
      </w:r>
      <w:r w:rsidR="00F0278E">
        <w:t xml:space="preserve">. </w:t>
      </w:r>
      <w:r w:rsidRPr="00C33EC9">
        <w:t xml:space="preserve">This </w:t>
      </w:r>
      <w:r w:rsidR="00B87CBF">
        <w:t>Agreement</w:t>
      </w:r>
      <w:r w:rsidRPr="00C33EC9">
        <w:t xml:space="preserve"> may be executed in counterparts, each of which shall be </w:t>
      </w:r>
      <w:r w:rsidR="004F2AA4" w:rsidRPr="00C33EC9">
        <w:t xml:space="preserve">deemed </w:t>
      </w:r>
      <w:r w:rsidRPr="00C33EC9">
        <w:t xml:space="preserve">an original, and all of which </w:t>
      </w:r>
      <w:r w:rsidR="004F2AA4" w:rsidRPr="00C33EC9">
        <w:t xml:space="preserve">together </w:t>
      </w:r>
      <w:r w:rsidRPr="00C33EC9">
        <w:t xml:space="preserve">shall constitute but one and the same </w:t>
      </w:r>
      <w:r w:rsidR="00B87CBF">
        <w:t>Agreement</w:t>
      </w:r>
      <w:r w:rsidRPr="00C33EC9">
        <w:t>.</w:t>
      </w:r>
      <w:r w:rsidR="00F0278E">
        <w:t xml:space="preserve"> </w:t>
      </w:r>
      <w:r w:rsidR="004F2AA4" w:rsidRPr="00C33EC9">
        <w:t xml:space="preserve">The Parties agree that a </w:t>
      </w:r>
      <w:r w:rsidR="00086147">
        <w:t>faxed or scanned</w:t>
      </w:r>
      <w:r w:rsidR="00086147" w:rsidRPr="00C33EC9">
        <w:t xml:space="preserve"> </w:t>
      </w:r>
      <w:r w:rsidR="004F2AA4" w:rsidRPr="00C33EC9">
        <w:t>signature may substitute for and have the same legal effect as the original signature.</w:t>
      </w:r>
    </w:p>
    <w:p w14:paraId="399F4312" w14:textId="77777777" w:rsidR="001056DC" w:rsidRPr="00F100F9" w:rsidRDefault="00661A0D" w:rsidP="00A35F0B">
      <w:pPr>
        <w:pStyle w:val="KHeading2"/>
        <w:ind w:left="1440" w:hanging="720"/>
        <w:rPr>
          <w:u w:val="single"/>
        </w:rPr>
      </w:pPr>
      <w:r w:rsidRPr="00661A0D">
        <w:rPr>
          <w:u w:val="single"/>
        </w:rPr>
        <w:t>Public Records</w:t>
      </w:r>
      <w:r w:rsidR="002311D7" w:rsidRPr="00661A0D">
        <w:rPr>
          <w:u w:val="single"/>
        </w:rPr>
        <w:t xml:space="preserve"> Addendum (“Addendum”)</w:t>
      </w:r>
      <w:r w:rsidR="002311D7" w:rsidRPr="00661A0D">
        <w:t>.</w:t>
      </w:r>
      <w:r w:rsidR="002311D7" w:rsidRPr="00661A0D">
        <w:rPr>
          <w:b/>
        </w:rPr>
        <w:t xml:space="preserve"> </w:t>
      </w:r>
      <w:r w:rsidR="002311D7" w:rsidRPr="00661A0D">
        <w:t xml:space="preserve">Vendor agrees that the Addendum attached hereto is hereby incorporated into this Agreement in order to address the public posting of this Agreement and its disclosure to third parties.     </w:t>
      </w:r>
    </w:p>
    <w:p w14:paraId="34ABDB85" w14:textId="27BD5511" w:rsidR="00661A0D" w:rsidRPr="00661A0D" w:rsidRDefault="001056DC" w:rsidP="00A35F0B">
      <w:pPr>
        <w:pStyle w:val="KHeading2"/>
        <w:ind w:left="1440" w:hanging="720"/>
        <w:rPr>
          <w:u w:val="single"/>
        </w:rPr>
      </w:pPr>
      <w:r w:rsidRPr="00661A0D">
        <w:rPr>
          <w:u w:val="single"/>
        </w:rPr>
        <w:t>Entire Agreement</w:t>
      </w:r>
      <w:r w:rsidRPr="00661A0D">
        <w:t xml:space="preserve">. This Agreement, and any exhibits, </w:t>
      </w:r>
      <w:proofErr w:type="gramStart"/>
      <w:r w:rsidRPr="00661A0D">
        <w:t>schedules</w:t>
      </w:r>
      <w:proofErr w:type="gramEnd"/>
      <w:r w:rsidRPr="00661A0D">
        <w:t xml:space="preserve"> and attachments hereto, set forth the entire agreement and understanding of the Parties with respect to the subject matter hereof, and supersedes any prior or contemporaneous proposals, agreements or understandings with respect to the subject matter hereof. </w:t>
      </w:r>
      <w:r w:rsidR="002311D7" w:rsidRPr="00661A0D">
        <w:t xml:space="preserve"> </w:t>
      </w:r>
    </w:p>
    <w:p w14:paraId="6DA351F9" w14:textId="067F87AD" w:rsidR="00B90F99" w:rsidRPr="00C33EC9" w:rsidRDefault="00B90F99" w:rsidP="00B90F99">
      <w:pPr>
        <w:pStyle w:val="KHeading1"/>
        <w:numPr>
          <w:ilvl w:val="0"/>
          <w:numId w:val="0"/>
        </w:numPr>
      </w:pPr>
      <w:r w:rsidRPr="00C33EC9">
        <w:rPr>
          <w:b/>
        </w:rPr>
        <w:lastRenderedPageBreak/>
        <w:t>IN WITNESS WHEREOF</w:t>
      </w:r>
      <w:r w:rsidRPr="00C33EC9">
        <w:t xml:space="preserve">, this </w:t>
      </w:r>
      <w:r>
        <w:t>Agreement</w:t>
      </w:r>
      <w:r w:rsidRPr="00C33EC9">
        <w:t xml:space="preserve"> has been duly executed by authorized representatives</w:t>
      </w:r>
      <w:r>
        <w:t xml:space="preserve"> </w:t>
      </w:r>
      <w:r w:rsidRPr="00C33EC9">
        <w:t>of the Parties.</w:t>
      </w:r>
    </w:p>
    <w:tbl>
      <w:tblPr>
        <w:tblW w:w="10368" w:type="dxa"/>
        <w:tblLayout w:type="fixed"/>
        <w:tblLook w:val="01E0" w:firstRow="1" w:lastRow="1" w:firstColumn="1" w:lastColumn="1" w:noHBand="0" w:noVBand="0"/>
      </w:tblPr>
      <w:tblGrid>
        <w:gridCol w:w="4788"/>
        <w:gridCol w:w="792"/>
        <w:gridCol w:w="4788"/>
      </w:tblGrid>
      <w:tr w:rsidR="00B90F99" w:rsidRPr="000D13DE" w14:paraId="1E07E39C" w14:textId="77777777" w:rsidTr="00720AE9">
        <w:tc>
          <w:tcPr>
            <w:tcW w:w="4788" w:type="dxa"/>
          </w:tcPr>
          <w:p w14:paraId="2D8CB040" w14:textId="77777777" w:rsidR="00B90F99" w:rsidRPr="000D13DE" w:rsidRDefault="00B90F99" w:rsidP="00720AE9">
            <w:pPr>
              <w:tabs>
                <w:tab w:val="left" w:pos="720"/>
                <w:tab w:val="left" w:pos="6840"/>
              </w:tabs>
              <w:ind w:right="-432"/>
              <w:jc w:val="center"/>
              <w:rPr>
                <w:rFonts w:ascii="Arial" w:hAnsi="Arial" w:cs="Arial"/>
                <w:b/>
                <w:caps/>
                <w:sz w:val="22"/>
                <w:szCs w:val="22"/>
              </w:rPr>
            </w:pPr>
            <w:r w:rsidRPr="000D13DE">
              <w:rPr>
                <w:rFonts w:ascii="Arial" w:hAnsi="Arial" w:cs="Arial"/>
                <w:b/>
                <w:caps/>
                <w:sz w:val="22"/>
                <w:szCs w:val="22"/>
              </w:rPr>
              <w:t>Citizens Property Insurance</w:t>
            </w:r>
          </w:p>
          <w:p w14:paraId="09524538" w14:textId="77777777" w:rsidR="00B90F99" w:rsidRPr="000D13DE" w:rsidRDefault="00B90F99" w:rsidP="00720AE9">
            <w:pPr>
              <w:tabs>
                <w:tab w:val="left" w:pos="720"/>
                <w:tab w:val="left" w:pos="6840"/>
              </w:tabs>
              <w:ind w:right="-432"/>
              <w:jc w:val="center"/>
              <w:rPr>
                <w:rFonts w:ascii="Arial" w:hAnsi="Arial" w:cs="Arial"/>
                <w:sz w:val="22"/>
                <w:szCs w:val="22"/>
              </w:rPr>
            </w:pPr>
            <w:r w:rsidRPr="000D13DE">
              <w:rPr>
                <w:rFonts w:ascii="Arial" w:hAnsi="Arial" w:cs="Arial"/>
                <w:b/>
                <w:caps/>
                <w:sz w:val="22"/>
                <w:szCs w:val="22"/>
              </w:rPr>
              <w:t>Corporation</w:t>
            </w:r>
          </w:p>
        </w:tc>
        <w:tc>
          <w:tcPr>
            <w:tcW w:w="5580" w:type="dxa"/>
            <w:gridSpan w:val="2"/>
          </w:tcPr>
          <w:p w14:paraId="34363123" w14:textId="77777777" w:rsidR="00B90F99" w:rsidRPr="00BA38C1" w:rsidRDefault="00B90F99" w:rsidP="00720AE9">
            <w:pPr>
              <w:tabs>
                <w:tab w:val="left" w:pos="720"/>
                <w:tab w:val="left" w:pos="6840"/>
              </w:tabs>
              <w:ind w:right="-432"/>
              <w:jc w:val="center"/>
              <w:rPr>
                <w:rFonts w:ascii="Arial" w:hAnsi="Arial" w:cs="Arial"/>
                <w:b/>
                <w:color w:val="FF0000"/>
                <w:sz w:val="22"/>
                <w:szCs w:val="22"/>
              </w:rPr>
            </w:pPr>
            <w:r w:rsidRPr="00BA38C1">
              <w:rPr>
                <w:rFonts w:ascii="Arial" w:hAnsi="Arial" w:cs="Arial"/>
                <w:b/>
                <w:color w:val="FF0000"/>
                <w:sz w:val="22"/>
                <w:szCs w:val="22"/>
              </w:rPr>
              <w:t>VENDOR</w:t>
            </w:r>
          </w:p>
        </w:tc>
      </w:tr>
      <w:tr w:rsidR="00B90F99" w:rsidRPr="000D13DE" w14:paraId="25D5440E" w14:textId="77777777" w:rsidTr="00720AE9">
        <w:tc>
          <w:tcPr>
            <w:tcW w:w="4788" w:type="dxa"/>
          </w:tcPr>
          <w:p w14:paraId="2FB38D9F" w14:textId="77777777" w:rsidR="00B90F99" w:rsidRPr="000D13DE" w:rsidRDefault="00B90F99" w:rsidP="00720AE9">
            <w:pPr>
              <w:tabs>
                <w:tab w:val="left" w:pos="180"/>
                <w:tab w:val="left" w:pos="4320"/>
                <w:tab w:val="left" w:pos="5220"/>
                <w:tab w:val="left" w:pos="8820"/>
              </w:tabs>
              <w:spacing w:before="240"/>
              <w:ind w:right="-432"/>
              <w:rPr>
                <w:rFonts w:ascii="Arial" w:hAnsi="Arial" w:cs="Arial"/>
                <w:sz w:val="22"/>
                <w:szCs w:val="22"/>
                <w:u w:val="single"/>
              </w:rPr>
            </w:pPr>
          </w:p>
          <w:p w14:paraId="164CDE36" w14:textId="77777777" w:rsidR="00B90F99" w:rsidRPr="000D13DE" w:rsidRDefault="00B90F99" w:rsidP="00720AE9">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DF5821B" w14:textId="77777777" w:rsidR="00B90F99" w:rsidRPr="000D13DE" w:rsidRDefault="00B90F99" w:rsidP="00720AE9">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tcPr>
          <w:p w14:paraId="6E8CFA08" w14:textId="77777777" w:rsidR="00B90F99" w:rsidRPr="000D13DE" w:rsidRDefault="00B90F99" w:rsidP="00720AE9">
            <w:pPr>
              <w:tabs>
                <w:tab w:val="left" w:pos="180"/>
                <w:tab w:val="left" w:pos="5112"/>
                <w:tab w:val="left" w:pos="8820"/>
              </w:tabs>
              <w:spacing w:before="240"/>
              <w:ind w:right="-432"/>
              <w:rPr>
                <w:rFonts w:ascii="Arial" w:hAnsi="Arial" w:cs="Arial"/>
                <w:sz w:val="22"/>
                <w:szCs w:val="22"/>
                <w:u w:val="single"/>
              </w:rPr>
            </w:pPr>
          </w:p>
          <w:p w14:paraId="3160F5E6" w14:textId="77777777" w:rsidR="00B90F99" w:rsidRPr="000D13DE" w:rsidRDefault="00B90F99" w:rsidP="00720AE9">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FC64F18" w14:textId="77777777" w:rsidR="00B90F99" w:rsidRPr="000D13DE" w:rsidRDefault="00B90F99" w:rsidP="00720AE9">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r>
      <w:tr w:rsidR="00B90F99" w:rsidRPr="000D13DE" w14:paraId="6B060829" w14:textId="77777777" w:rsidTr="00720AE9">
        <w:tc>
          <w:tcPr>
            <w:tcW w:w="4788" w:type="dxa"/>
          </w:tcPr>
          <w:p w14:paraId="01A09C24" w14:textId="77777777" w:rsidR="00B90F99" w:rsidRPr="000D13DE" w:rsidRDefault="00B90F99" w:rsidP="00720AE9">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0992B665" w14:textId="77777777" w:rsidR="00B90F99" w:rsidRPr="000D13DE" w:rsidRDefault="00B90F99" w:rsidP="00720AE9">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Print Name</w:t>
            </w:r>
          </w:p>
        </w:tc>
        <w:tc>
          <w:tcPr>
            <w:tcW w:w="5580" w:type="dxa"/>
            <w:gridSpan w:val="2"/>
          </w:tcPr>
          <w:p w14:paraId="5C6C05B3" w14:textId="77777777" w:rsidR="00B90F99" w:rsidRPr="000D13DE" w:rsidRDefault="00B90F99" w:rsidP="00720AE9">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37239488" w14:textId="77777777" w:rsidR="00B90F99" w:rsidRPr="000D13DE" w:rsidRDefault="00B90F99" w:rsidP="00720AE9">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Print Name</w:t>
            </w:r>
          </w:p>
        </w:tc>
      </w:tr>
      <w:tr w:rsidR="00B90F99" w:rsidRPr="000D13DE" w14:paraId="0002F07A" w14:textId="77777777" w:rsidTr="00720AE9">
        <w:tc>
          <w:tcPr>
            <w:tcW w:w="4788" w:type="dxa"/>
          </w:tcPr>
          <w:p w14:paraId="6173F62B" w14:textId="77777777" w:rsidR="00B90F99" w:rsidRPr="000D13DE" w:rsidRDefault="00B90F99" w:rsidP="00720AE9">
            <w:pPr>
              <w:tabs>
                <w:tab w:val="left" w:pos="180"/>
                <w:tab w:val="left" w:pos="4320"/>
                <w:tab w:val="left" w:pos="5220"/>
                <w:tab w:val="left" w:pos="8820"/>
              </w:tabs>
              <w:spacing w:before="240"/>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38B7B167" w14:textId="77777777" w:rsidR="00B90F99" w:rsidRPr="000D13DE" w:rsidRDefault="00B90F99" w:rsidP="00720AE9">
            <w:pPr>
              <w:tabs>
                <w:tab w:val="left" w:pos="0"/>
                <w:tab w:val="left" w:pos="6840"/>
              </w:tabs>
              <w:spacing w:after="240"/>
              <w:ind w:right="-432"/>
              <w:jc w:val="center"/>
              <w:rPr>
                <w:rFonts w:ascii="Arial" w:hAnsi="Arial" w:cs="Arial"/>
                <w:sz w:val="22"/>
                <w:szCs w:val="22"/>
              </w:rPr>
            </w:pPr>
            <w:r w:rsidRPr="000D13DE">
              <w:rPr>
                <w:rFonts w:ascii="Arial" w:hAnsi="Arial" w:cs="Arial"/>
                <w:sz w:val="22"/>
                <w:szCs w:val="22"/>
              </w:rPr>
              <w:t>Title</w:t>
            </w:r>
          </w:p>
        </w:tc>
        <w:tc>
          <w:tcPr>
            <w:tcW w:w="5580" w:type="dxa"/>
            <w:gridSpan w:val="2"/>
          </w:tcPr>
          <w:p w14:paraId="7A1D97D4" w14:textId="77777777" w:rsidR="00B90F99" w:rsidRPr="00BC3BD6" w:rsidRDefault="00B90F99" w:rsidP="00720AE9">
            <w:pPr>
              <w:tabs>
                <w:tab w:val="left" w:pos="180"/>
                <w:tab w:val="left" w:pos="5112"/>
                <w:tab w:val="left" w:pos="8820"/>
              </w:tabs>
              <w:spacing w:before="240"/>
              <w:ind w:right="-432"/>
              <w:rPr>
                <w:rFonts w:ascii="Arial" w:hAnsi="Arial" w:cs="Arial"/>
                <w:sz w:val="22"/>
                <w:szCs w:val="22"/>
              </w:rPr>
            </w:pPr>
            <w:r w:rsidRPr="000D13DE">
              <w:rPr>
                <w:rFonts w:ascii="Arial" w:hAnsi="Arial" w:cs="Arial"/>
                <w:sz w:val="22"/>
                <w:szCs w:val="22"/>
                <w:u w:val="single"/>
              </w:rPr>
              <w:tab/>
            </w:r>
            <w:r w:rsidRPr="000D13DE">
              <w:rPr>
                <w:rFonts w:ascii="Arial" w:hAnsi="Arial" w:cs="Arial"/>
                <w:sz w:val="22"/>
                <w:szCs w:val="22"/>
                <w:u w:val="single"/>
              </w:rPr>
              <w:tab/>
            </w:r>
          </w:p>
          <w:p w14:paraId="5C5690EE" w14:textId="77777777" w:rsidR="00B90F99" w:rsidRPr="000D13DE" w:rsidRDefault="00B90F99" w:rsidP="00720AE9">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Title</w:t>
            </w:r>
          </w:p>
        </w:tc>
      </w:tr>
      <w:tr w:rsidR="00B90F99" w:rsidRPr="000D13DE" w14:paraId="2AF31345" w14:textId="77777777" w:rsidTr="00720AE9">
        <w:tc>
          <w:tcPr>
            <w:tcW w:w="4788" w:type="dxa"/>
          </w:tcPr>
          <w:p w14:paraId="0BD02F05" w14:textId="77777777" w:rsidR="00B90F99" w:rsidRPr="000D13DE" w:rsidRDefault="00B90F99" w:rsidP="00720AE9">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CA89D39" w14:textId="77777777" w:rsidR="00B90F99" w:rsidRPr="000D13DE" w:rsidRDefault="00B90F99" w:rsidP="00720AE9">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tcPr>
          <w:p w14:paraId="7BA4632D" w14:textId="77777777" w:rsidR="00B90F99" w:rsidRPr="000D13DE" w:rsidRDefault="00B90F99" w:rsidP="00720AE9">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C7DA36A" w14:textId="77777777" w:rsidR="00B90F99" w:rsidRPr="000D13DE" w:rsidRDefault="00B90F99" w:rsidP="00720AE9">
            <w:pPr>
              <w:tabs>
                <w:tab w:val="left" w:pos="5112"/>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r>
      <w:tr w:rsidR="00B90F99" w:rsidRPr="000D13DE" w14:paraId="39D4680C" w14:textId="77777777" w:rsidTr="00720AE9">
        <w:trPr>
          <w:gridAfter w:val="1"/>
          <w:wAfter w:w="4788" w:type="dxa"/>
        </w:trPr>
        <w:tc>
          <w:tcPr>
            <w:tcW w:w="5580" w:type="dxa"/>
            <w:gridSpan w:val="2"/>
            <w:vAlign w:val="center"/>
          </w:tcPr>
          <w:p w14:paraId="4A36F7FC" w14:textId="77777777" w:rsidR="00B90F99" w:rsidRPr="000D13DE" w:rsidRDefault="00B90F99" w:rsidP="00720AE9">
            <w:pPr>
              <w:tabs>
                <w:tab w:val="left" w:pos="5247"/>
              </w:tabs>
              <w:spacing w:line="240" w:lineRule="auto"/>
              <w:jc w:val="left"/>
              <w:rPr>
                <w:rFonts w:ascii="Arial" w:hAnsi="Arial" w:cs="Arial"/>
                <w:sz w:val="22"/>
                <w:szCs w:val="22"/>
                <w:u w:val="single"/>
              </w:rPr>
            </w:pPr>
          </w:p>
        </w:tc>
      </w:tr>
      <w:tr w:rsidR="00B90F99" w:rsidRPr="000D13DE" w14:paraId="357020B8" w14:textId="77777777" w:rsidTr="00720AE9">
        <w:tc>
          <w:tcPr>
            <w:tcW w:w="4788" w:type="dxa"/>
          </w:tcPr>
          <w:p w14:paraId="24A8649C" w14:textId="77777777" w:rsidR="00B90F99" w:rsidRPr="000D13DE" w:rsidRDefault="00B90F99" w:rsidP="00720AE9">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B287CC0" w14:textId="77777777" w:rsidR="00B90F99" w:rsidRPr="000D13DE" w:rsidRDefault="00B90F99" w:rsidP="00720AE9">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vAlign w:val="center"/>
          </w:tcPr>
          <w:p w14:paraId="0B46C7EA" w14:textId="77777777" w:rsidR="00B90F99" w:rsidRPr="000D13DE" w:rsidRDefault="00B90F99" w:rsidP="00720AE9">
            <w:pPr>
              <w:spacing w:line="240" w:lineRule="auto"/>
              <w:jc w:val="left"/>
              <w:rPr>
                <w:rFonts w:ascii="Arial" w:hAnsi="Arial" w:cs="Arial"/>
                <w:sz w:val="22"/>
                <w:szCs w:val="22"/>
              </w:rPr>
            </w:pPr>
          </w:p>
        </w:tc>
      </w:tr>
      <w:tr w:rsidR="00B90F99" w:rsidRPr="000D13DE" w14:paraId="190D55CE" w14:textId="77777777" w:rsidTr="00720AE9">
        <w:tc>
          <w:tcPr>
            <w:tcW w:w="4788" w:type="dxa"/>
          </w:tcPr>
          <w:p w14:paraId="29A3FBFA" w14:textId="77777777" w:rsidR="00B90F99" w:rsidRPr="000D13DE" w:rsidRDefault="00B90F99" w:rsidP="00720AE9">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13066417" w14:textId="77777777" w:rsidR="00B90F99" w:rsidRPr="000D13DE" w:rsidRDefault="00B90F99" w:rsidP="00720AE9">
            <w:pPr>
              <w:tabs>
                <w:tab w:val="left" w:pos="72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Print Name</w:t>
            </w:r>
          </w:p>
        </w:tc>
        <w:tc>
          <w:tcPr>
            <w:tcW w:w="5580" w:type="dxa"/>
            <w:gridSpan w:val="2"/>
            <w:vAlign w:val="center"/>
          </w:tcPr>
          <w:p w14:paraId="773A77A8" w14:textId="77777777" w:rsidR="00B90F99" w:rsidRPr="000D13DE" w:rsidRDefault="00B90F99" w:rsidP="00720AE9">
            <w:pPr>
              <w:spacing w:line="240" w:lineRule="auto"/>
              <w:jc w:val="left"/>
              <w:rPr>
                <w:rFonts w:ascii="Arial" w:hAnsi="Arial" w:cs="Arial"/>
                <w:sz w:val="22"/>
                <w:szCs w:val="22"/>
              </w:rPr>
            </w:pPr>
          </w:p>
        </w:tc>
      </w:tr>
      <w:tr w:rsidR="00B90F99" w:rsidRPr="000D13DE" w14:paraId="6373E71C" w14:textId="77777777" w:rsidTr="00720AE9">
        <w:tc>
          <w:tcPr>
            <w:tcW w:w="4788" w:type="dxa"/>
          </w:tcPr>
          <w:p w14:paraId="2FA1775C" w14:textId="77777777" w:rsidR="00B90F99" w:rsidRPr="000D13DE" w:rsidRDefault="00B90F99" w:rsidP="00720AE9">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606CCEC0" w14:textId="77777777" w:rsidR="00B90F99" w:rsidRPr="000D13DE" w:rsidRDefault="00B90F99" w:rsidP="00720AE9">
            <w:pPr>
              <w:tabs>
                <w:tab w:val="left" w:pos="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Title</w:t>
            </w:r>
          </w:p>
        </w:tc>
        <w:tc>
          <w:tcPr>
            <w:tcW w:w="5580" w:type="dxa"/>
            <w:gridSpan w:val="2"/>
            <w:vAlign w:val="center"/>
          </w:tcPr>
          <w:p w14:paraId="49447CC8" w14:textId="77777777" w:rsidR="00B90F99" w:rsidRPr="000D13DE" w:rsidRDefault="00B90F99" w:rsidP="00720AE9">
            <w:pPr>
              <w:spacing w:line="240" w:lineRule="auto"/>
              <w:jc w:val="left"/>
              <w:rPr>
                <w:rFonts w:ascii="Arial" w:hAnsi="Arial" w:cs="Arial"/>
                <w:sz w:val="22"/>
                <w:szCs w:val="22"/>
              </w:rPr>
            </w:pPr>
          </w:p>
        </w:tc>
      </w:tr>
      <w:tr w:rsidR="00B90F99" w:rsidRPr="000D13DE" w14:paraId="6212CCE4" w14:textId="77777777" w:rsidTr="00720AE9">
        <w:tc>
          <w:tcPr>
            <w:tcW w:w="4788" w:type="dxa"/>
          </w:tcPr>
          <w:p w14:paraId="707610EF" w14:textId="77777777" w:rsidR="00B90F99" w:rsidRPr="000D13DE" w:rsidRDefault="00B90F99" w:rsidP="00720AE9">
            <w:pPr>
              <w:tabs>
                <w:tab w:val="left" w:pos="180"/>
                <w:tab w:val="left" w:pos="4320"/>
                <w:tab w:val="left" w:pos="5220"/>
                <w:tab w:val="left" w:pos="8820"/>
              </w:tabs>
              <w:spacing w:before="240" w:line="260" w:lineRule="atLeast"/>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7C749303" w14:textId="77777777" w:rsidR="00B90F99" w:rsidRPr="000D13DE" w:rsidRDefault="00B90F99" w:rsidP="00720AE9">
            <w:pPr>
              <w:tabs>
                <w:tab w:val="left" w:pos="720"/>
                <w:tab w:val="left" w:pos="6840"/>
              </w:tabs>
              <w:spacing w:after="240" w:line="260" w:lineRule="atLeast"/>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vAlign w:val="center"/>
          </w:tcPr>
          <w:p w14:paraId="1F38D367" w14:textId="77777777" w:rsidR="00B90F99" w:rsidRPr="000D13DE" w:rsidRDefault="00B90F99" w:rsidP="00720AE9">
            <w:pPr>
              <w:spacing w:line="240" w:lineRule="auto"/>
              <w:jc w:val="left"/>
              <w:rPr>
                <w:rFonts w:ascii="Arial" w:hAnsi="Arial" w:cs="Arial"/>
                <w:sz w:val="22"/>
                <w:szCs w:val="22"/>
              </w:rPr>
            </w:pPr>
          </w:p>
        </w:tc>
      </w:tr>
    </w:tbl>
    <w:p w14:paraId="32ECF4F7" w14:textId="77777777" w:rsidR="00E00C09" w:rsidRPr="00C33EC9" w:rsidRDefault="00E00C09" w:rsidP="00B90F99">
      <w:pPr>
        <w:pStyle w:val="KHeading2"/>
        <w:numPr>
          <w:ilvl w:val="0"/>
          <w:numId w:val="0"/>
        </w:numPr>
      </w:pPr>
      <w:r w:rsidRPr="00C33EC9">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2"/>
        <w:gridCol w:w="1098"/>
      </w:tblGrid>
      <w:tr w:rsidR="009935A0" w14:paraId="03263C63" w14:textId="77777777" w:rsidTr="001B7BF8">
        <w:tc>
          <w:tcPr>
            <w:tcW w:w="8352" w:type="dxa"/>
          </w:tcPr>
          <w:p w14:paraId="477E85C4" w14:textId="77777777" w:rsidR="009935A0" w:rsidRPr="009F43CA" w:rsidRDefault="009935A0" w:rsidP="007A71C1">
            <w:pPr>
              <w:pStyle w:val="BodyText"/>
              <w:rPr>
                <w:rFonts w:ascii="Arial" w:hAnsi="Arial" w:cs="Arial"/>
                <w:sz w:val="21"/>
                <w:szCs w:val="21"/>
              </w:rPr>
            </w:pPr>
          </w:p>
        </w:tc>
        <w:tc>
          <w:tcPr>
            <w:tcW w:w="1098" w:type="dxa"/>
          </w:tcPr>
          <w:p w14:paraId="5BDE8878" w14:textId="77777777" w:rsidR="009935A0" w:rsidRDefault="009935A0" w:rsidP="00CB2775">
            <w:pPr>
              <w:pStyle w:val="BodyText"/>
              <w:jc w:val="both"/>
              <w:rPr>
                <w:rFonts w:ascii="Arial" w:hAnsi="Arial" w:cs="Arial"/>
                <w:b/>
                <w:caps/>
                <w:sz w:val="22"/>
                <w:szCs w:val="22"/>
              </w:rPr>
            </w:pPr>
          </w:p>
        </w:tc>
      </w:tr>
    </w:tbl>
    <w:p w14:paraId="5B3DD2D0" w14:textId="40BB7F36" w:rsidR="003A1318" w:rsidRDefault="003A1318">
      <w:pPr>
        <w:widowControl/>
        <w:adjustRightInd/>
        <w:spacing w:line="240" w:lineRule="auto"/>
        <w:jc w:val="left"/>
        <w:textAlignment w:val="auto"/>
        <w:rPr>
          <w:rFonts w:ascii="Arial" w:hAnsi="Arial" w:cs="Arial"/>
          <w:color w:val="FF0000"/>
          <w:sz w:val="22"/>
          <w:szCs w:val="22"/>
        </w:rPr>
      </w:pPr>
    </w:p>
    <w:p w14:paraId="6B9867CA" w14:textId="77777777" w:rsidR="00C4555A" w:rsidRPr="00C4555A" w:rsidRDefault="00C4555A" w:rsidP="00C4555A">
      <w:pPr>
        <w:pStyle w:val="Header"/>
        <w:spacing w:line="240" w:lineRule="auto"/>
        <w:jc w:val="center"/>
        <w:rPr>
          <w:rFonts w:ascii="Arial" w:hAnsi="Arial" w:cs="Arial"/>
          <w:b/>
          <w:sz w:val="22"/>
          <w:szCs w:val="22"/>
        </w:rPr>
      </w:pPr>
      <w:r w:rsidRPr="00C4555A">
        <w:rPr>
          <w:rFonts w:ascii="Arial" w:hAnsi="Arial" w:cs="Arial"/>
          <w:b/>
          <w:sz w:val="22"/>
          <w:szCs w:val="22"/>
        </w:rPr>
        <w:t>ADDENDUM 1</w:t>
      </w:r>
    </w:p>
    <w:p w14:paraId="50D2B322" w14:textId="271998E9" w:rsidR="00C4555A" w:rsidRPr="00C4555A" w:rsidRDefault="00F851F5" w:rsidP="00C4555A">
      <w:pPr>
        <w:pStyle w:val="Header"/>
        <w:spacing w:line="240" w:lineRule="auto"/>
        <w:jc w:val="center"/>
        <w:rPr>
          <w:rFonts w:ascii="Arial" w:hAnsi="Arial" w:cs="Arial"/>
          <w:b/>
          <w:sz w:val="22"/>
          <w:szCs w:val="22"/>
        </w:rPr>
      </w:pPr>
      <w:r>
        <w:rPr>
          <w:rFonts w:ascii="Arial" w:hAnsi="Arial" w:cs="Arial"/>
          <w:b/>
          <w:sz w:val="22"/>
          <w:szCs w:val="22"/>
        </w:rPr>
        <w:t>PUBLIC RECORDS</w:t>
      </w:r>
      <w:r w:rsidR="00C4555A" w:rsidRPr="00C4555A">
        <w:rPr>
          <w:rFonts w:ascii="Arial" w:hAnsi="Arial" w:cs="Arial"/>
          <w:b/>
          <w:sz w:val="22"/>
          <w:szCs w:val="22"/>
        </w:rPr>
        <w:t xml:space="preserve"> ADDENDUM (“ADDENDUM”)</w:t>
      </w:r>
    </w:p>
    <w:p w14:paraId="723985ED" w14:textId="77777777" w:rsidR="003A1318"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A218A8" w14:paraId="4AC9C7DC" w14:textId="77777777" w:rsidTr="009609D5">
        <w:tc>
          <w:tcPr>
            <w:tcW w:w="9473" w:type="dxa"/>
            <w:vAlign w:val="center"/>
          </w:tcPr>
          <w:p w14:paraId="68100CD9"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Company Name</w:t>
            </w:r>
            <w:r>
              <w:rPr>
                <w:rFonts w:ascii="Arial" w:hAnsi="Arial" w:cs="Arial"/>
                <w:sz w:val="20"/>
                <w:szCs w:val="20"/>
              </w:rPr>
              <w:t xml:space="preserve"> (“</w:t>
            </w:r>
            <w:r w:rsidRPr="00AE697D">
              <w:rPr>
                <w:rFonts w:ascii="Arial" w:hAnsi="Arial" w:cs="Arial"/>
                <w:sz w:val="20"/>
                <w:szCs w:val="20"/>
              </w:rPr>
              <w:t>Vendor</w:t>
            </w:r>
            <w:r>
              <w:rPr>
                <w:rFonts w:ascii="Arial" w:hAnsi="Arial" w:cs="Arial"/>
                <w:b/>
                <w:sz w:val="20"/>
                <w:szCs w:val="20"/>
              </w:rPr>
              <w:t>”</w:t>
            </w:r>
            <w:r>
              <w:rPr>
                <w:rFonts w:ascii="Arial" w:hAnsi="Arial" w:cs="Arial"/>
                <w:sz w:val="20"/>
                <w:szCs w:val="20"/>
              </w:rPr>
              <w:t>)</w:t>
            </w:r>
            <w:r w:rsidRPr="00A218A8">
              <w:rPr>
                <w:rFonts w:ascii="Arial" w:hAnsi="Arial" w:cs="Arial"/>
                <w:sz w:val="20"/>
                <w:szCs w:val="20"/>
              </w:rPr>
              <w:t>:</w:t>
            </w:r>
          </w:p>
        </w:tc>
      </w:tr>
      <w:tr w:rsidR="00C4555A" w:rsidRPr="00A218A8" w14:paraId="6FC5E6AD" w14:textId="77777777" w:rsidTr="009609D5">
        <w:tc>
          <w:tcPr>
            <w:tcW w:w="9473" w:type="dxa"/>
            <w:vAlign w:val="center"/>
          </w:tcPr>
          <w:p w14:paraId="3A051365" w14:textId="77777777" w:rsidR="00C4555A" w:rsidRPr="00A218A8" w:rsidRDefault="00C4555A" w:rsidP="009609D5">
            <w:pPr>
              <w:spacing w:before="40" w:after="40" w:line="240" w:lineRule="auto"/>
              <w:rPr>
                <w:rFonts w:ascii="Arial" w:hAnsi="Arial" w:cs="Arial"/>
                <w:sz w:val="20"/>
                <w:szCs w:val="20"/>
              </w:rPr>
            </w:pPr>
            <w:r>
              <w:rPr>
                <w:rFonts w:ascii="Arial" w:hAnsi="Arial" w:cs="Arial"/>
                <w:sz w:val="20"/>
                <w:szCs w:val="20"/>
              </w:rPr>
              <w:t>Agreement Name/Number (“Agreement</w:t>
            </w:r>
            <w:r>
              <w:rPr>
                <w:rFonts w:ascii="Arial" w:hAnsi="Arial" w:cs="Arial"/>
                <w:b/>
                <w:sz w:val="20"/>
                <w:szCs w:val="20"/>
              </w:rPr>
              <w:t>”</w:t>
            </w:r>
            <w:r>
              <w:rPr>
                <w:rFonts w:ascii="Arial" w:hAnsi="Arial" w:cs="Arial"/>
                <w:sz w:val="20"/>
                <w:szCs w:val="20"/>
              </w:rPr>
              <w:t>):</w:t>
            </w:r>
          </w:p>
        </w:tc>
      </w:tr>
      <w:tr w:rsidR="00C4555A" w:rsidRPr="00A218A8" w14:paraId="3334FA10" w14:textId="77777777" w:rsidTr="009609D5">
        <w:tc>
          <w:tcPr>
            <w:tcW w:w="9473" w:type="dxa"/>
            <w:vAlign w:val="center"/>
          </w:tcPr>
          <w:p w14:paraId="162F64A6"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 xml:space="preserve">Primary </w:t>
            </w:r>
            <w:r>
              <w:rPr>
                <w:rFonts w:ascii="Arial" w:hAnsi="Arial" w:cs="Arial"/>
                <w:sz w:val="20"/>
                <w:szCs w:val="20"/>
              </w:rPr>
              <w:t xml:space="preserve">Vendor </w:t>
            </w:r>
            <w:r w:rsidRPr="00A218A8">
              <w:rPr>
                <w:rFonts w:ascii="Arial" w:hAnsi="Arial" w:cs="Arial"/>
                <w:sz w:val="20"/>
                <w:szCs w:val="20"/>
              </w:rPr>
              <w:t>Contact Name:</w:t>
            </w:r>
          </w:p>
        </w:tc>
      </w:tr>
      <w:tr w:rsidR="00C4555A" w:rsidRPr="00A218A8" w14:paraId="0AD21E3B" w14:textId="77777777" w:rsidTr="009609D5">
        <w:tc>
          <w:tcPr>
            <w:tcW w:w="9473" w:type="dxa"/>
            <w:vAlign w:val="center"/>
          </w:tcPr>
          <w:p w14:paraId="126A15C7"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Telephone:</w:t>
            </w:r>
          </w:p>
        </w:tc>
      </w:tr>
      <w:tr w:rsidR="00C4555A" w:rsidRPr="00A218A8" w14:paraId="26144704" w14:textId="77777777" w:rsidTr="009609D5">
        <w:tc>
          <w:tcPr>
            <w:tcW w:w="9473" w:type="dxa"/>
            <w:tcBorders>
              <w:bottom w:val="single" w:sz="4" w:space="0" w:color="auto"/>
            </w:tcBorders>
            <w:vAlign w:val="center"/>
          </w:tcPr>
          <w:p w14:paraId="39DE73FB"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Email:</w:t>
            </w:r>
          </w:p>
        </w:tc>
      </w:tr>
    </w:tbl>
    <w:p w14:paraId="68B4585B" w14:textId="77777777" w:rsidR="003A1318" w:rsidRDefault="003A1318" w:rsidP="003A1318">
      <w:pPr>
        <w:pStyle w:val="Default"/>
        <w:rPr>
          <w:sz w:val="20"/>
          <w:szCs w:val="20"/>
        </w:rPr>
      </w:pPr>
    </w:p>
    <w:p w14:paraId="2027454C" w14:textId="171FC3CA" w:rsidR="00C4555A" w:rsidRPr="00F366C3" w:rsidRDefault="00C4555A" w:rsidP="00C4555A">
      <w:pPr>
        <w:pStyle w:val="Default"/>
        <w:jc w:val="both"/>
        <w:rPr>
          <w:color w:val="auto"/>
          <w:sz w:val="20"/>
          <w:szCs w:val="20"/>
        </w:rPr>
      </w:pPr>
      <w:bookmarkStart w:id="9" w:name="_Hlk26541480"/>
      <w:r w:rsidRPr="00F366C3">
        <w:rPr>
          <w:color w:val="auto"/>
          <w:sz w:val="20"/>
          <w:szCs w:val="20"/>
        </w:rPr>
        <w:t xml:space="preserve">Citizens is subject to Florida public records laws, including Chapter 119, Florida Statutes.  As a part of providing public access to Citizens’ records, Citizens makes </w:t>
      </w:r>
      <w:r>
        <w:rPr>
          <w:color w:val="auto"/>
          <w:sz w:val="20"/>
          <w:szCs w:val="20"/>
        </w:rPr>
        <w:t>its</w:t>
      </w:r>
      <w:r w:rsidRPr="00F366C3">
        <w:rPr>
          <w:color w:val="auto"/>
          <w:sz w:val="20"/>
          <w:szCs w:val="20"/>
        </w:rPr>
        <w:t xml:space="preserve"> contracts available on Citizens’ external website located at </w:t>
      </w:r>
      <w:hyperlink r:id="rId17" w:history="1">
        <w:r w:rsidRPr="00142A93">
          <w:rPr>
            <w:rStyle w:val="Hyperlink"/>
            <w:sz w:val="20"/>
            <w:szCs w:val="20"/>
          </w:rPr>
          <w:t>www.citizensfla.com/contracts</w:t>
        </w:r>
      </w:hyperlink>
      <w:r w:rsidRPr="00F366C3">
        <w:rPr>
          <w:color w:val="auto"/>
          <w:sz w:val="20"/>
          <w:szCs w:val="20"/>
        </w:rPr>
        <w:t>.</w:t>
      </w:r>
      <w:r>
        <w:rPr>
          <w:color w:val="auto"/>
          <w:sz w:val="20"/>
          <w:szCs w:val="20"/>
        </w:rPr>
        <w:t xml:space="preserve"> This Addendum is incorporated into the Agreement in order to address Citizens’ public posting of the Agreement and its disclosure to third parties.  </w:t>
      </w:r>
    </w:p>
    <w:p w14:paraId="1D9A2697" w14:textId="77777777" w:rsidR="00C4555A" w:rsidRPr="00F366C3" w:rsidRDefault="00C4555A" w:rsidP="00C4555A">
      <w:pPr>
        <w:pStyle w:val="Default"/>
        <w:rPr>
          <w:color w:val="auto"/>
          <w:sz w:val="20"/>
          <w:szCs w:val="20"/>
        </w:rPr>
      </w:pPr>
    </w:p>
    <w:p w14:paraId="3DC72840" w14:textId="3D1E0A48" w:rsidR="00C4555A" w:rsidRPr="00F366C3" w:rsidRDefault="00C4555A" w:rsidP="00C4555A">
      <w:pPr>
        <w:pStyle w:val="Default"/>
        <w:jc w:val="both"/>
        <w:rPr>
          <w:color w:val="auto"/>
          <w:sz w:val="20"/>
          <w:szCs w:val="20"/>
        </w:rPr>
      </w:pPr>
      <w:r>
        <w:rPr>
          <w:color w:val="auto"/>
          <w:sz w:val="20"/>
          <w:szCs w:val="20"/>
        </w:rPr>
        <w:t xml:space="preserve">If Vendor asserts that any portion of the Agreement is exempt from disclosure under Florida public records laws, (the “Redacted Information”), </w:t>
      </w:r>
      <w:r w:rsidRPr="00F366C3">
        <w:rPr>
          <w:color w:val="auto"/>
          <w:sz w:val="20"/>
          <w:szCs w:val="20"/>
        </w:rPr>
        <w:t xml:space="preserve">such as information </w:t>
      </w:r>
      <w:r>
        <w:rPr>
          <w:color w:val="auto"/>
          <w:sz w:val="20"/>
          <w:szCs w:val="20"/>
        </w:rPr>
        <w:t>that Vendor</w:t>
      </w:r>
      <w:r w:rsidRPr="00F366C3">
        <w:rPr>
          <w:color w:val="auto"/>
          <w:sz w:val="20"/>
          <w:szCs w:val="20"/>
        </w:rPr>
        <w:t xml:space="preserve"> consider</w:t>
      </w:r>
      <w:r>
        <w:rPr>
          <w:color w:val="auto"/>
          <w:sz w:val="20"/>
          <w:szCs w:val="20"/>
        </w:rPr>
        <w:t>s</w:t>
      </w:r>
      <w:r w:rsidRPr="00F366C3">
        <w:rPr>
          <w:color w:val="auto"/>
          <w:sz w:val="20"/>
          <w:szCs w:val="20"/>
        </w:rPr>
        <w:t xml:space="preserve"> a protected “trade secret” per Section 815.045, Florida Statutes</w:t>
      </w:r>
      <w:r>
        <w:rPr>
          <w:color w:val="auto"/>
          <w:sz w:val="20"/>
          <w:szCs w:val="20"/>
        </w:rPr>
        <w:t xml:space="preserve">, then Vendor </w:t>
      </w:r>
      <w:r w:rsidRPr="00F366C3">
        <w:rPr>
          <w:color w:val="auto"/>
          <w:sz w:val="20"/>
          <w:szCs w:val="20"/>
        </w:rPr>
        <w:t>must</w:t>
      </w:r>
      <w:r>
        <w:rPr>
          <w:color w:val="auto"/>
          <w:sz w:val="20"/>
          <w:szCs w:val="20"/>
        </w:rPr>
        <w:t xml:space="preserve"> select the corresponding declaration below and provide the following </w:t>
      </w:r>
      <w:r>
        <w:rPr>
          <w:sz w:val="20"/>
          <w:szCs w:val="20"/>
        </w:rPr>
        <w:t xml:space="preserve">to </w:t>
      </w:r>
      <w:hyperlink r:id="rId18" w:history="1">
        <w:r w:rsidR="005402D3" w:rsidRPr="00C710A8">
          <w:rPr>
            <w:rStyle w:val="Hyperlink"/>
            <w:sz w:val="20"/>
            <w:szCs w:val="20"/>
          </w:rPr>
          <w:t>Vendor.ManagementOffice@citizensfla.com</w:t>
        </w:r>
      </w:hyperlink>
      <w:r w:rsidRPr="00F366C3">
        <w:rPr>
          <w:color w:val="auto"/>
          <w:sz w:val="20"/>
          <w:szCs w:val="20"/>
        </w:rPr>
        <w:t>:</w:t>
      </w:r>
    </w:p>
    <w:p w14:paraId="1C5FFE56" w14:textId="77777777" w:rsidR="00C4555A" w:rsidRPr="00F366C3" w:rsidRDefault="00C4555A" w:rsidP="00C4555A">
      <w:pPr>
        <w:pStyle w:val="Default"/>
        <w:rPr>
          <w:color w:val="auto"/>
          <w:sz w:val="20"/>
          <w:szCs w:val="20"/>
        </w:rPr>
      </w:pPr>
    </w:p>
    <w:p w14:paraId="29ACEFFA" w14:textId="77777777" w:rsidR="00C4555A" w:rsidRPr="003E521F" w:rsidRDefault="00C4555A" w:rsidP="006510D9">
      <w:pPr>
        <w:pStyle w:val="Default"/>
        <w:numPr>
          <w:ilvl w:val="0"/>
          <w:numId w:val="19"/>
        </w:numPr>
        <w:spacing w:after="120"/>
        <w:jc w:val="both"/>
        <w:rPr>
          <w:b/>
          <w:color w:val="auto"/>
          <w:sz w:val="20"/>
          <w:szCs w:val="20"/>
        </w:rPr>
      </w:pPr>
      <w:r w:rsidRPr="003E521F">
        <w:rPr>
          <w:b/>
          <w:color w:val="auto"/>
          <w:sz w:val="20"/>
          <w:szCs w:val="20"/>
        </w:rPr>
        <w:t>A copy of the Agreement in PDF format with the Redacted Information removed (the “Redacted Agreement”); and,</w:t>
      </w:r>
    </w:p>
    <w:p w14:paraId="6A7F0F47" w14:textId="77777777" w:rsidR="00C4555A" w:rsidRPr="003E521F" w:rsidRDefault="00C4555A" w:rsidP="006510D9">
      <w:pPr>
        <w:pStyle w:val="Default"/>
        <w:numPr>
          <w:ilvl w:val="0"/>
          <w:numId w:val="19"/>
        </w:numPr>
        <w:jc w:val="both"/>
        <w:rPr>
          <w:b/>
          <w:color w:val="auto"/>
          <w:sz w:val="20"/>
          <w:szCs w:val="20"/>
        </w:rPr>
      </w:pPr>
      <w:r w:rsidRPr="003E521F">
        <w:rPr>
          <w:b/>
          <w:color w:val="auto"/>
          <w:sz w:val="20"/>
          <w:szCs w:val="20"/>
        </w:rPr>
        <w:t>A dated statement on Vendor’s letterhead in PDF format clearly identifying the legal basis for Vendor’s redaction of the Redacted Information (the “Redaction Justification”).</w:t>
      </w:r>
    </w:p>
    <w:p w14:paraId="2779FF3F" w14:textId="18A385EA" w:rsidR="00C4555A" w:rsidRDefault="00F851F5" w:rsidP="00C4555A">
      <w:pPr>
        <w:pStyle w:val="Default"/>
        <w:spacing w:before="120" w:after="120"/>
        <w:jc w:val="both"/>
        <w:rPr>
          <w:sz w:val="20"/>
          <w:szCs w:val="20"/>
        </w:rPr>
      </w:pPr>
      <w:r w:rsidRPr="00F851F5">
        <w:rPr>
          <w:b/>
          <w:bCs/>
          <w:sz w:val="20"/>
          <w:szCs w:val="20"/>
        </w:rPr>
        <w:t>Vendor must select one of the two declarations below.</w:t>
      </w:r>
      <w:r>
        <w:rPr>
          <w:sz w:val="20"/>
          <w:szCs w:val="20"/>
        </w:rPr>
        <w:t xml:space="preserve"> </w:t>
      </w:r>
      <w:r w:rsidR="00C4555A">
        <w:rPr>
          <w:sz w:val="20"/>
          <w:szCs w:val="20"/>
        </w:rPr>
        <w:t>If Vendor does not select one of the two declarations below, or if Vendor fails to provide the Redacted Agreement and Redaction Justification within thirty (30) days of Vendor’s receipt of the fully executed Agreement, then without further notice to Vendor, Citizens may post the non-redacted version of the Agreement</w:t>
      </w:r>
      <w:r w:rsidR="00C4555A" w:rsidRPr="00F366C3">
        <w:rPr>
          <w:sz w:val="20"/>
          <w:szCs w:val="20"/>
        </w:rPr>
        <w:t xml:space="preserve"> on its public website </w:t>
      </w:r>
      <w:r w:rsidR="00C4555A">
        <w:rPr>
          <w:sz w:val="20"/>
          <w:szCs w:val="20"/>
        </w:rPr>
        <w:t>and may</w:t>
      </w:r>
      <w:r w:rsidR="00C4555A" w:rsidRPr="00F366C3">
        <w:rPr>
          <w:sz w:val="20"/>
          <w:szCs w:val="20"/>
        </w:rPr>
        <w:t xml:space="preserve"> release </w:t>
      </w:r>
      <w:r w:rsidR="00C4555A">
        <w:rPr>
          <w:sz w:val="20"/>
          <w:szCs w:val="20"/>
        </w:rPr>
        <w:t>it to any member of the public</w:t>
      </w:r>
      <w:bookmarkEnd w:id="9"/>
      <w:r w:rsidR="00C4555A">
        <w:rPr>
          <w:sz w:val="20"/>
          <w:szCs w:val="20"/>
        </w:rPr>
        <w:t xml:space="preserve">. </w:t>
      </w:r>
    </w:p>
    <w:tbl>
      <w:tblPr>
        <w:tblStyle w:val="TableGrid"/>
        <w:tblW w:w="0" w:type="auto"/>
        <w:tblLook w:val="04A0" w:firstRow="1" w:lastRow="0" w:firstColumn="1" w:lastColumn="0" w:noHBand="0" w:noVBand="1"/>
      </w:tblPr>
      <w:tblGrid>
        <w:gridCol w:w="9350"/>
      </w:tblGrid>
      <w:tr w:rsidR="00C4555A" w14:paraId="5034964E" w14:textId="77777777" w:rsidTr="009609D5">
        <w:tc>
          <w:tcPr>
            <w:tcW w:w="9350" w:type="dxa"/>
            <w:shd w:val="clear" w:color="auto" w:fill="DEEAF6" w:themeFill="accent1" w:themeFillTint="33"/>
          </w:tcPr>
          <w:p w14:paraId="0DBABEC0" w14:textId="77777777" w:rsidR="00C4555A" w:rsidRDefault="00C4555A" w:rsidP="009609D5">
            <w:pPr>
              <w:spacing w:before="40" w:after="40"/>
              <w:jc w:val="center"/>
              <w:rPr>
                <w:rFonts w:ascii="Arial" w:hAnsi="Arial" w:cs="Arial"/>
                <w:sz w:val="20"/>
                <w:szCs w:val="20"/>
              </w:rPr>
            </w:pPr>
            <w:r w:rsidRPr="00BA5671">
              <w:rPr>
                <w:rFonts w:ascii="Arial" w:hAnsi="Arial" w:cs="Arial"/>
                <w:sz w:val="20"/>
                <w:szCs w:val="20"/>
                <w:u w:val="single"/>
              </w:rPr>
              <w:t>Vendor Declaration</w:t>
            </w:r>
            <w:r>
              <w:rPr>
                <w:rFonts w:ascii="Arial" w:hAnsi="Arial" w:cs="Arial"/>
                <w:sz w:val="20"/>
                <w:szCs w:val="20"/>
              </w:rPr>
              <w:t>:</w:t>
            </w:r>
          </w:p>
        </w:tc>
      </w:tr>
      <w:tr w:rsidR="00C4555A" w14:paraId="2823A0B4" w14:textId="77777777" w:rsidTr="009609D5">
        <w:tc>
          <w:tcPr>
            <w:tcW w:w="9350" w:type="dxa"/>
          </w:tcPr>
          <w:p w14:paraId="0C76FDEA" w14:textId="7ED72540" w:rsidR="00C4555A" w:rsidRPr="009C396A" w:rsidRDefault="00F20724" w:rsidP="00C4555A">
            <w:pPr>
              <w:spacing w:before="40" w:after="40" w:line="240" w:lineRule="auto"/>
              <w:rPr>
                <w:rFonts w:ascii="Arial" w:hAnsi="Arial" w:cs="Arial"/>
                <w:sz w:val="20"/>
                <w:szCs w:val="20"/>
              </w:rPr>
            </w:pPr>
            <w:sdt>
              <w:sdtPr>
                <w:rPr>
                  <w:rFonts w:ascii="Arial" w:hAnsi="Arial" w:cs="Arial"/>
                  <w:sz w:val="20"/>
                  <w:szCs w:val="20"/>
                </w:rPr>
                <w:id w:val="1307355274"/>
                <w14:checkbox>
                  <w14:checked w14:val="0"/>
                  <w14:checkedState w14:val="2612" w14:font="MS Gothic"/>
                  <w14:uncheckedState w14:val="2610" w14:font="MS Gothic"/>
                </w14:checkbox>
              </w:sdtPr>
              <w:sdtEndPr/>
              <w:sdtContent>
                <w:r w:rsidR="00C4555A" w:rsidRPr="00F366C3">
                  <w:rPr>
                    <w:rFonts w:ascii="MS Gothic" w:eastAsia="MS Gothic" w:hAnsi="MS Gothic" w:cs="Arial" w:hint="eastAsia"/>
                    <w:sz w:val="20"/>
                    <w:szCs w:val="20"/>
                  </w:rPr>
                  <w:t>☐</w:t>
                </w:r>
              </w:sdtContent>
            </w:sdt>
            <w:r w:rsidR="00C4555A" w:rsidRPr="00F366C3">
              <w:rPr>
                <w:rFonts w:ascii="Arial" w:hAnsi="Arial" w:cs="Arial"/>
                <w:sz w:val="20"/>
                <w:szCs w:val="20"/>
              </w:rPr>
              <w:t xml:space="preserve"> </w:t>
            </w:r>
            <w:r w:rsidR="00C4555A" w:rsidRPr="009C396A">
              <w:rPr>
                <w:rFonts w:ascii="Arial" w:hAnsi="Arial" w:cs="Arial"/>
                <w:sz w:val="20"/>
                <w:szCs w:val="20"/>
              </w:rPr>
              <w:t xml:space="preserve">Vendor </w:t>
            </w:r>
            <w:r w:rsidR="00C4555A" w:rsidRPr="009C396A">
              <w:rPr>
                <w:rFonts w:ascii="Arial" w:hAnsi="Arial" w:cs="Arial"/>
                <w:b/>
                <w:sz w:val="20"/>
                <w:szCs w:val="20"/>
              </w:rPr>
              <w:t>WILL NOT SUBMIT</w:t>
            </w:r>
            <w:r w:rsidR="00C4555A" w:rsidRPr="009C396A">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9C396A" w:rsidRDefault="00C4555A" w:rsidP="009609D5">
            <w:pPr>
              <w:spacing w:before="120" w:after="120"/>
              <w:rPr>
                <w:rFonts w:ascii="Arial" w:hAnsi="Arial" w:cs="Arial"/>
                <w:b/>
                <w:bCs/>
                <w:sz w:val="20"/>
                <w:szCs w:val="20"/>
              </w:rPr>
            </w:pPr>
            <w:r w:rsidRPr="009C396A">
              <w:rPr>
                <w:rFonts w:ascii="Arial" w:hAnsi="Arial" w:cs="Arial"/>
                <w:b/>
                <w:bCs/>
                <w:sz w:val="20"/>
                <w:szCs w:val="20"/>
              </w:rPr>
              <w:t>Or</w:t>
            </w:r>
          </w:p>
          <w:p w14:paraId="7737862F" w14:textId="49421145" w:rsidR="00C4555A" w:rsidRDefault="00F20724" w:rsidP="00C4555A">
            <w:pPr>
              <w:spacing w:before="40" w:after="40" w:line="240" w:lineRule="auto"/>
              <w:rPr>
                <w:rFonts w:ascii="Arial" w:hAnsi="Arial" w:cs="Arial"/>
                <w:sz w:val="20"/>
                <w:szCs w:val="20"/>
              </w:rPr>
            </w:pPr>
            <w:sdt>
              <w:sdtPr>
                <w:rPr>
                  <w:rFonts w:ascii="Arial" w:hAnsi="Arial" w:cs="Arial"/>
                  <w:sz w:val="20"/>
                  <w:szCs w:val="20"/>
                </w:rPr>
                <w:id w:val="-1238323411"/>
                <w14:checkbox>
                  <w14:checked w14:val="0"/>
                  <w14:checkedState w14:val="2612" w14:font="MS Gothic"/>
                  <w14:uncheckedState w14:val="2610" w14:font="MS Gothic"/>
                </w14:checkbox>
              </w:sdtPr>
              <w:sdtEndPr/>
              <w:sdtContent>
                <w:r w:rsidR="00C4555A" w:rsidRPr="009C396A">
                  <w:rPr>
                    <w:rFonts w:ascii="MS Gothic" w:eastAsia="MS Gothic" w:hAnsi="MS Gothic" w:cs="Arial" w:hint="eastAsia"/>
                    <w:sz w:val="20"/>
                    <w:szCs w:val="20"/>
                  </w:rPr>
                  <w:t>☐</w:t>
                </w:r>
              </w:sdtContent>
            </w:sdt>
            <w:r w:rsidR="00C4555A" w:rsidRPr="009C396A">
              <w:rPr>
                <w:rFonts w:ascii="Arial" w:hAnsi="Arial" w:cs="Arial"/>
                <w:sz w:val="20"/>
                <w:szCs w:val="20"/>
              </w:rPr>
              <w:t xml:space="preserve"> </w:t>
            </w:r>
            <w:r w:rsidR="00815A54" w:rsidRPr="009C396A">
              <w:rPr>
                <w:rFonts w:ascii="Arial" w:hAnsi="Arial" w:cs="Arial"/>
                <w:sz w:val="20"/>
                <w:szCs w:val="20"/>
              </w:rPr>
              <w:t xml:space="preserve">Vendor asserts that a portion of the Agreement is confidential and/or exempt under Florida Public Records law. Therefore, Vendor </w:t>
            </w:r>
            <w:r w:rsidR="00815A54" w:rsidRPr="009C396A">
              <w:rPr>
                <w:rFonts w:ascii="Arial" w:hAnsi="Arial" w:cs="Arial"/>
                <w:b/>
                <w:sz w:val="20"/>
                <w:szCs w:val="20"/>
              </w:rPr>
              <w:t>WILL SUBMIT</w:t>
            </w:r>
            <w:r w:rsidR="00815A54" w:rsidRPr="009C396A">
              <w:rPr>
                <w:rFonts w:ascii="Arial" w:hAnsi="Arial" w:cs="Arial"/>
                <w:sz w:val="20"/>
                <w:szCs w:val="20"/>
              </w:rPr>
              <w:t xml:space="preserve"> a Redacted Agreement and a Redaction Justification within thirty (30) 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w:t>
            </w:r>
            <w:r w:rsidR="00815A54" w:rsidRPr="00F366C3">
              <w:rPr>
                <w:rFonts w:ascii="Arial" w:hAnsi="Arial" w:cs="Arial"/>
                <w:sz w:val="20"/>
                <w:szCs w:val="20"/>
              </w:rPr>
              <w:t xml:space="preserve"> redactions, Vendor will be solely responsible for defending its position </w:t>
            </w:r>
            <w:r w:rsidR="00815A54">
              <w:rPr>
                <w:rFonts w:ascii="Arial" w:hAnsi="Arial" w:cs="Arial"/>
                <w:sz w:val="20"/>
                <w:szCs w:val="20"/>
              </w:rPr>
              <w:t>or seeking a judicial declaration</w:t>
            </w:r>
            <w:r w:rsidR="00C4555A">
              <w:rPr>
                <w:rFonts w:ascii="Arial" w:hAnsi="Arial" w:cs="Arial"/>
                <w:sz w:val="20"/>
                <w:szCs w:val="20"/>
              </w:rPr>
              <w:t xml:space="preserve">. </w:t>
            </w:r>
          </w:p>
        </w:tc>
      </w:tr>
    </w:tbl>
    <w:p w14:paraId="526E6F02" w14:textId="77777777" w:rsidR="003A1318" w:rsidRPr="003A1318" w:rsidRDefault="003A1318" w:rsidP="003A1318">
      <w:pPr>
        <w:spacing w:line="240" w:lineRule="auto"/>
        <w:rPr>
          <w:rFonts w:ascii="Arial" w:hAnsi="Arial" w:cs="Arial"/>
          <w:sz w:val="22"/>
          <w:szCs w:val="22"/>
        </w:rPr>
      </w:pPr>
    </w:p>
    <w:sectPr w:rsidR="003A1318" w:rsidRPr="003A1318" w:rsidSect="003A1318">
      <w:headerReference w:type="even" r:id="rId19"/>
      <w:headerReference w:type="default" r:id="rId20"/>
      <w:footerReference w:type="even" r:id="rId21"/>
      <w:footerReference w:type="default" r:id="rId22"/>
      <w:headerReference w:type="first" r:id="rId23"/>
      <w:footerReference w:type="first" r:id="rId24"/>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0FEB5" w14:textId="77777777" w:rsidR="00904A1A" w:rsidRDefault="00904A1A">
      <w:r>
        <w:separator/>
      </w:r>
    </w:p>
  </w:endnote>
  <w:endnote w:type="continuationSeparator" w:id="0">
    <w:p w14:paraId="3CBD8F9B" w14:textId="77777777" w:rsidR="00904A1A" w:rsidRDefault="00904A1A">
      <w:r>
        <w:continuationSeparator/>
      </w:r>
    </w:p>
  </w:endnote>
  <w:endnote w:type="continuationNotice" w:id="1">
    <w:p w14:paraId="254EFCD5" w14:textId="77777777" w:rsidR="00904A1A" w:rsidRDefault="00904A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C45B2" w14:textId="77777777" w:rsidR="00C34DB8" w:rsidRDefault="00C34DB8"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A7424" w14:textId="77777777" w:rsidR="00C34DB8" w:rsidRDefault="00C34DB8"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81C4" w14:textId="706E5953" w:rsidR="00C34DB8" w:rsidRPr="002C3491" w:rsidRDefault="00C34DB8" w:rsidP="00025442">
    <w:pPr>
      <w:pStyle w:val="Footer"/>
      <w:tabs>
        <w:tab w:val="clear" w:pos="4320"/>
        <w:tab w:val="clear" w:pos="8640"/>
        <w:tab w:val="right" w:pos="9360"/>
      </w:tabs>
      <w:jc w:val="left"/>
      <w:rPr>
        <w:rFonts w:ascii="Arial" w:hAnsi="Arial" w:cs="Arial"/>
      </w:rPr>
    </w:pPr>
    <w:r>
      <w:rPr>
        <w:rFonts w:ascii="Arial" w:hAnsi="Arial" w:cs="Arial"/>
        <w:vanish/>
        <w:sz w:val="20"/>
        <w:szCs w:val="20"/>
        <w:u w:val="single"/>
      </w:rPr>
      <w:t>9/29/20169/2</w:t>
    </w:r>
    <w:r>
      <w:rPr>
        <w:rFonts w:ascii="Arial" w:hAnsi="Arial" w:cs="Arial"/>
        <w:sz w:val="20"/>
        <w:szCs w:val="20"/>
        <w:u w:val="single"/>
      </w:rPr>
      <w:t>Contract Template V20</w:t>
    </w:r>
    <w:r w:rsidR="00217C50">
      <w:rPr>
        <w:rFonts w:ascii="Arial" w:hAnsi="Arial" w:cs="Arial"/>
        <w:sz w:val="20"/>
        <w:szCs w:val="20"/>
        <w:u w:val="single"/>
      </w:rPr>
      <w:t>2</w:t>
    </w:r>
    <w:r w:rsidR="00AD7307">
      <w:rPr>
        <w:rFonts w:ascii="Arial" w:hAnsi="Arial" w:cs="Arial"/>
        <w:sz w:val="20"/>
        <w:szCs w:val="20"/>
        <w:u w:val="single"/>
      </w:rPr>
      <w:t xml:space="preserve">1-7-27 </w:t>
    </w:r>
    <w:r w:rsidR="00025442">
      <w:rPr>
        <w:rFonts w:ascii="Arial" w:hAnsi="Arial" w:cs="Arial"/>
        <w:sz w:val="20"/>
        <w:szCs w:val="20"/>
        <w:u w:val="single"/>
      </w:rPr>
      <w:tab/>
    </w:r>
  </w:p>
  <w:p w14:paraId="1ADE196B" w14:textId="77777777" w:rsidR="00C34DB8" w:rsidRPr="008A6C5A" w:rsidRDefault="00C34DB8" w:rsidP="00680CAC">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between Citizens and </w:t>
    </w:r>
    <w:r w:rsidRPr="00623C7B">
      <w:rPr>
        <w:rFonts w:ascii="Arial" w:hAnsi="Arial" w:cs="Arial"/>
        <w:color w:val="FF0000"/>
        <w:sz w:val="18"/>
        <w:szCs w:val="18"/>
      </w:rPr>
      <w:t>[</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t xml:space="preserve">Page </w:t>
    </w:r>
    <w:r w:rsidRPr="008A6C5A">
      <w:rPr>
        <w:rStyle w:val="PageNumber"/>
        <w:rFonts w:ascii="Arial" w:hAnsi="Arial" w:cs="Arial"/>
        <w:sz w:val="18"/>
        <w:szCs w:val="18"/>
      </w:rPr>
      <w:fldChar w:fldCharType="begin"/>
    </w:r>
    <w:r w:rsidRPr="008A6C5A">
      <w:rPr>
        <w:rStyle w:val="PageNumber"/>
        <w:rFonts w:ascii="Arial" w:hAnsi="Arial" w:cs="Arial"/>
        <w:sz w:val="18"/>
        <w:szCs w:val="18"/>
      </w:rPr>
      <w:instrText xml:space="preserve"> PAGE </w:instrText>
    </w:r>
    <w:r w:rsidRPr="008A6C5A">
      <w:rPr>
        <w:rStyle w:val="PageNumber"/>
        <w:rFonts w:ascii="Arial" w:hAnsi="Arial" w:cs="Arial"/>
        <w:sz w:val="18"/>
        <w:szCs w:val="18"/>
      </w:rPr>
      <w:fldChar w:fldCharType="separate"/>
    </w:r>
    <w:r>
      <w:rPr>
        <w:rStyle w:val="PageNumber"/>
        <w:rFonts w:ascii="Arial" w:hAnsi="Arial" w:cs="Arial"/>
        <w:noProof/>
        <w:sz w:val="18"/>
        <w:szCs w:val="18"/>
      </w:rPr>
      <w:t>27</w:t>
    </w:r>
    <w:r w:rsidRPr="008A6C5A">
      <w:rPr>
        <w:rStyle w:val="PageNumber"/>
        <w:rFonts w:ascii="Arial" w:hAnsi="Arial" w:cs="Arial"/>
        <w:sz w:val="18"/>
        <w:szCs w:val="18"/>
      </w:rPr>
      <w:fldChar w:fldCharType="end"/>
    </w:r>
    <w:r w:rsidRPr="008A6C5A">
      <w:rPr>
        <w:rStyle w:val="PageNumber"/>
        <w:rFonts w:ascii="Arial" w:hAnsi="Arial" w:cs="Arial"/>
        <w:sz w:val="18"/>
        <w:szCs w:val="18"/>
      </w:rPr>
      <w:t xml:space="preserve"> of </w:t>
    </w:r>
    <w:r w:rsidRPr="008A6C5A">
      <w:rPr>
        <w:rStyle w:val="PageNumber"/>
        <w:rFonts w:ascii="Arial" w:hAnsi="Arial" w:cs="Arial"/>
        <w:sz w:val="18"/>
        <w:szCs w:val="18"/>
      </w:rPr>
      <w:fldChar w:fldCharType="begin"/>
    </w:r>
    <w:r w:rsidRPr="008A6C5A">
      <w:rPr>
        <w:rStyle w:val="PageNumber"/>
        <w:rFonts w:ascii="Arial" w:hAnsi="Arial" w:cs="Arial"/>
        <w:sz w:val="18"/>
        <w:szCs w:val="18"/>
      </w:rPr>
      <w:instrText xml:space="preserve"> NUMPAGES </w:instrText>
    </w:r>
    <w:r w:rsidRPr="008A6C5A">
      <w:rPr>
        <w:rStyle w:val="PageNumber"/>
        <w:rFonts w:ascii="Arial" w:hAnsi="Arial" w:cs="Arial"/>
        <w:sz w:val="18"/>
        <w:szCs w:val="18"/>
      </w:rPr>
      <w:fldChar w:fldCharType="separate"/>
    </w:r>
    <w:r>
      <w:rPr>
        <w:rStyle w:val="PageNumber"/>
        <w:rFonts w:ascii="Arial" w:hAnsi="Arial" w:cs="Arial"/>
        <w:noProof/>
        <w:sz w:val="18"/>
        <w:szCs w:val="18"/>
      </w:rPr>
      <w:t>31</w:t>
    </w:r>
    <w:r w:rsidRPr="008A6C5A">
      <w:rPr>
        <w:rStyle w:val="PageNumber"/>
        <w:rFonts w:ascii="Arial" w:hAnsi="Arial" w:cs="Arial"/>
        <w:sz w:val="18"/>
        <w:szCs w:val="18"/>
      </w:rPr>
      <w:fldChar w:fldCharType="end"/>
    </w:r>
    <w:r w:rsidRPr="008A6C5A">
      <w:rPr>
        <w:rFonts w:ascii="Arial" w:hAnsi="Arial" w:cs="Arial"/>
        <w:sz w:val="18"/>
        <w:szCs w:val="18"/>
      </w:rPr>
      <w:t xml:space="preserve"> </w:t>
    </w:r>
  </w:p>
  <w:p w14:paraId="5581CFD9" w14:textId="0E1EB90E" w:rsidR="00C34DB8" w:rsidRPr="008A6C5A" w:rsidRDefault="00C34DB8" w:rsidP="00BF6D67">
    <w:pPr>
      <w:pStyle w:val="Footer"/>
      <w:tabs>
        <w:tab w:val="clear" w:pos="8640"/>
        <w:tab w:val="right" w:pos="9360"/>
      </w:tabs>
      <w:spacing w:line="240" w:lineRule="auto"/>
      <w:rPr>
        <w:rFonts w:ascii="Arial" w:hAnsi="Arial" w:cs="Arial"/>
        <w:color w:val="000000"/>
        <w:sz w:val="18"/>
        <w:szCs w:val="18"/>
      </w:rPr>
    </w:pPr>
    <w:r w:rsidRPr="008A6C5A">
      <w:rPr>
        <w:rFonts w:ascii="Arial" w:hAnsi="Arial" w:cs="Arial"/>
        <w:sz w:val="18"/>
        <w:szCs w:val="18"/>
      </w:rPr>
      <w:t xml:space="preserve">Contract </w:t>
    </w:r>
    <w:r w:rsidR="009E718A">
      <w:rPr>
        <w:rFonts w:ascii="Arial" w:hAnsi="Arial" w:cs="Arial"/>
        <w:sz w:val="18"/>
        <w:szCs w:val="18"/>
      </w:rPr>
      <w:t xml:space="preserve">No. </w:t>
    </w:r>
    <w:r w:rsidRPr="00623C7B">
      <w:rPr>
        <w:rFonts w:ascii="Arial" w:hAnsi="Arial" w:cs="Arial"/>
        <w:color w:val="FF0000"/>
        <w:sz w:val="18"/>
        <w:szCs w:val="18"/>
      </w:rPr>
      <w:t>[</w:t>
    </w:r>
    <w:r w:rsidRPr="00DA68DC">
      <w:rPr>
        <w:rFonts w:ascii="Arial" w:hAnsi="Arial" w:cs="Arial"/>
        <w:color w:val="FF0000"/>
        <w:sz w:val="18"/>
        <w:szCs w:val="18"/>
      </w:rPr>
      <w:t>XX-XX-XXXX-XX]</w:t>
    </w:r>
    <w:r w:rsidRPr="008A6C5A">
      <w:rPr>
        <w:rFonts w:ascii="Arial" w:hAnsi="Arial" w:cs="Arial"/>
        <w:sz w:val="18"/>
        <w:szCs w:val="18"/>
      </w:rPr>
      <w:tab/>
    </w:r>
    <w:r w:rsidRPr="008A6C5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F502A" w14:textId="77777777" w:rsidR="00C34DB8" w:rsidRDefault="00C34DB8" w:rsidP="00664C96">
    <w:pPr>
      <w:pStyle w:val="Footer"/>
      <w:tabs>
        <w:tab w:val="clear" w:pos="8640"/>
        <w:tab w:val="right" w:pos="9360"/>
      </w:tabs>
      <w:spacing w:line="240" w:lineRule="auto"/>
      <w:rPr>
        <w:sz w:val="20"/>
        <w:szCs w:val="20"/>
      </w:rPr>
    </w:pPr>
  </w:p>
  <w:p w14:paraId="1483170E" w14:textId="0CFFF268" w:rsidR="00C34DB8" w:rsidRPr="00B320BD" w:rsidRDefault="00C34DB8"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Contract Template V20</w:t>
    </w:r>
    <w:r w:rsidR="00217C50">
      <w:rPr>
        <w:rFonts w:ascii="Arial" w:hAnsi="Arial" w:cs="Arial"/>
        <w:sz w:val="20"/>
        <w:szCs w:val="20"/>
        <w:u w:val="single"/>
      </w:rPr>
      <w:t>20</w:t>
    </w:r>
    <w:r>
      <w:rPr>
        <w:rFonts w:ascii="Arial" w:hAnsi="Arial" w:cs="Arial"/>
        <w:sz w:val="20"/>
        <w:szCs w:val="20"/>
        <w:u w:val="single"/>
      </w:rPr>
      <w:t>-1-0</w:t>
    </w:r>
    <w:r w:rsidR="00217C50">
      <w:rPr>
        <w:rFonts w:ascii="Arial" w:hAnsi="Arial" w:cs="Arial"/>
        <w:sz w:val="20"/>
        <w:szCs w:val="20"/>
        <w:u w:val="single"/>
      </w:rPr>
      <w:t>3</w:t>
    </w:r>
    <w:r>
      <w:rPr>
        <w:rFonts w:ascii="Arial" w:hAnsi="Arial" w:cs="Arial"/>
        <w:sz w:val="20"/>
        <w:szCs w:val="20"/>
        <w:u w:val="single"/>
      </w:rPr>
      <w:t xml:space="preserve">              </w:t>
    </w:r>
    <w:r w:rsidR="00217C50">
      <w:rPr>
        <w:rFonts w:ascii="Arial" w:hAnsi="Arial" w:cs="Arial"/>
        <w:sz w:val="20"/>
        <w:szCs w:val="20"/>
        <w:u w:val="single"/>
      </w:rPr>
      <w:t xml:space="preserve">         </w:t>
    </w:r>
    <w:r>
      <w:rPr>
        <w:rFonts w:ascii="Arial" w:hAnsi="Arial" w:cs="Arial"/>
        <w:sz w:val="20"/>
        <w:szCs w:val="20"/>
        <w:u w:val="single"/>
      </w:rPr>
      <w:t xml:space="preserve">                                                                                                </w:t>
    </w:r>
    <w:r w:rsidRPr="00B320BD">
      <w:rPr>
        <w:rFonts w:ascii="Arial" w:hAnsi="Arial" w:cs="Arial"/>
        <w:vanish/>
        <w:sz w:val="20"/>
        <w:szCs w:val="20"/>
        <w:u w:val="single"/>
      </w:rPr>
      <w:t xml:space="preserve"> 11/22</w:t>
    </w:r>
    <w:r w:rsidRPr="00B320BD">
      <w:rPr>
        <w:rFonts w:ascii="Arial" w:hAnsi="Arial" w:cs="Arial"/>
      </w:rPr>
      <w:tab/>
    </w:r>
  </w:p>
  <w:p w14:paraId="0418259E" w14:textId="77777777" w:rsidR="00C34DB8" w:rsidRPr="008A6C5A" w:rsidRDefault="00C34DB8" w:rsidP="005F789D">
    <w:pPr>
      <w:pStyle w:val="Footer"/>
      <w:tabs>
        <w:tab w:val="clear" w:pos="8640"/>
        <w:tab w:val="right" w:pos="9360"/>
      </w:tabs>
      <w:spacing w:line="240" w:lineRule="auto"/>
      <w:rPr>
        <w:rFonts w:ascii="Arial" w:hAnsi="Arial" w:cs="Arial"/>
        <w:sz w:val="18"/>
        <w:szCs w:val="18"/>
      </w:rPr>
    </w:pPr>
    <w:r w:rsidRPr="00B320BD">
      <w:rPr>
        <w:rFonts w:ascii="Arial" w:hAnsi="Arial" w:cs="Arial"/>
        <w:sz w:val="18"/>
        <w:szCs w:val="18"/>
      </w:rPr>
      <w:t>Contract be</w:t>
    </w:r>
    <w:r w:rsidRPr="008A6C5A">
      <w:rPr>
        <w:rFonts w:ascii="Arial" w:hAnsi="Arial" w:cs="Arial"/>
        <w:sz w:val="18"/>
        <w:szCs w:val="18"/>
      </w:rPr>
      <w:t xml:space="preserve">tween Citizens and </w:t>
    </w:r>
    <w:r w:rsidRPr="00623C7B">
      <w:rPr>
        <w:rFonts w:ascii="Arial" w:hAnsi="Arial" w:cs="Arial"/>
        <w:color w:val="FF0000"/>
        <w:sz w:val="18"/>
        <w:szCs w:val="18"/>
      </w:rPr>
      <w:t>[</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r>
    <w:r w:rsidRPr="00BB7DEE">
      <w:rPr>
        <w:rFonts w:ascii="Arial" w:hAnsi="Arial" w:cs="Arial"/>
        <w:sz w:val="18"/>
        <w:szCs w:val="18"/>
      </w:rPr>
      <w:t xml:space="preserve">Page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PAGE </w:instrText>
    </w:r>
    <w:r w:rsidRPr="00BB7DEE">
      <w:rPr>
        <w:rStyle w:val="PageNumber"/>
        <w:rFonts w:ascii="Arial" w:hAnsi="Arial" w:cs="Arial"/>
        <w:sz w:val="18"/>
        <w:szCs w:val="18"/>
      </w:rPr>
      <w:fldChar w:fldCharType="separate"/>
    </w:r>
    <w:r>
      <w:rPr>
        <w:rStyle w:val="PageNumber"/>
        <w:rFonts w:ascii="Arial" w:hAnsi="Arial" w:cs="Arial"/>
        <w:noProof/>
        <w:sz w:val="18"/>
        <w:szCs w:val="18"/>
      </w:rPr>
      <w:t>1</w:t>
    </w:r>
    <w:r w:rsidRPr="00BB7DEE">
      <w:rPr>
        <w:rStyle w:val="PageNumber"/>
        <w:rFonts w:ascii="Arial" w:hAnsi="Arial" w:cs="Arial"/>
        <w:sz w:val="18"/>
        <w:szCs w:val="18"/>
      </w:rPr>
      <w:fldChar w:fldCharType="end"/>
    </w:r>
    <w:r w:rsidRPr="00BB7DEE">
      <w:rPr>
        <w:rStyle w:val="PageNumber"/>
        <w:rFonts w:ascii="Arial" w:hAnsi="Arial" w:cs="Arial"/>
        <w:sz w:val="18"/>
        <w:szCs w:val="18"/>
      </w:rPr>
      <w:t xml:space="preserve"> of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NUMPAGES </w:instrText>
    </w:r>
    <w:r w:rsidRPr="00BB7DEE">
      <w:rPr>
        <w:rStyle w:val="PageNumber"/>
        <w:rFonts w:ascii="Arial" w:hAnsi="Arial" w:cs="Arial"/>
        <w:sz w:val="18"/>
        <w:szCs w:val="18"/>
      </w:rPr>
      <w:fldChar w:fldCharType="separate"/>
    </w:r>
    <w:r>
      <w:rPr>
        <w:rStyle w:val="PageNumber"/>
        <w:rFonts w:ascii="Arial" w:hAnsi="Arial" w:cs="Arial"/>
        <w:noProof/>
        <w:sz w:val="18"/>
        <w:szCs w:val="18"/>
      </w:rPr>
      <w:t>31</w:t>
    </w:r>
    <w:r w:rsidRPr="00BB7DEE">
      <w:rPr>
        <w:rStyle w:val="PageNumber"/>
        <w:rFonts w:ascii="Arial" w:hAnsi="Arial" w:cs="Arial"/>
        <w:sz w:val="18"/>
        <w:szCs w:val="18"/>
      </w:rPr>
      <w:fldChar w:fldCharType="end"/>
    </w:r>
    <w:r w:rsidRPr="008A6C5A">
      <w:rPr>
        <w:rFonts w:ascii="Arial" w:hAnsi="Arial" w:cs="Arial"/>
        <w:sz w:val="18"/>
        <w:szCs w:val="18"/>
      </w:rPr>
      <w:t xml:space="preserve"> </w:t>
    </w:r>
  </w:p>
  <w:p w14:paraId="2D67D459" w14:textId="1DC45FD2" w:rsidR="00C34DB8" w:rsidRPr="00BB7DEE" w:rsidRDefault="00C34DB8" w:rsidP="005F789D">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w:t>
    </w:r>
    <w:r w:rsidR="009E718A">
      <w:rPr>
        <w:rFonts w:ascii="Arial" w:hAnsi="Arial" w:cs="Arial"/>
        <w:sz w:val="18"/>
        <w:szCs w:val="18"/>
      </w:rPr>
      <w:t>No.</w:t>
    </w:r>
    <w:r w:rsidRPr="008A6C5A">
      <w:rPr>
        <w:rFonts w:ascii="Arial" w:hAnsi="Arial" w:cs="Arial"/>
        <w:sz w:val="18"/>
        <w:szCs w:val="18"/>
      </w:rPr>
      <w:t xml:space="preserve"> </w:t>
    </w:r>
    <w:r w:rsidRPr="00623C7B">
      <w:rPr>
        <w:rFonts w:ascii="Arial" w:hAnsi="Arial" w:cs="Arial"/>
        <w:color w:val="FF0000"/>
        <w:sz w:val="18"/>
        <w:szCs w:val="18"/>
      </w:rPr>
      <w:t>[</w:t>
    </w:r>
    <w:r w:rsidRPr="00DA68DC">
      <w:rPr>
        <w:rFonts w:ascii="Arial" w:hAnsi="Arial" w:cs="Arial"/>
        <w:color w:val="FF0000"/>
        <w:sz w:val="18"/>
        <w:szCs w:val="18"/>
      </w:rPr>
      <w:t>XX-XX-XXXX-XX]</w:t>
    </w:r>
    <w:r w:rsidRPr="00BB7DEE">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64557" w14:textId="77777777" w:rsidR="00904A1A" w:rsidRDefault="00904A1A">
      <w:r>
        <w:separator/>
      </w:r>
    </w:p>
  </w:footnote>
  <w:footnote w:type="continuationSeparator" w:id="0">
    <w:p w14:paraId="3235E104" w14:textId="77777777" w:rsidR="00904A1A" w:rsidRDefault="00904A1A">
      <w:r>
        <w:continuationSeparator/>
      </w:r>
    </w:p>
  </w:footnote>
  <w:footnote w:type="continuationNotice" w:id="1">
    <w:p w14:paraId="7F386D45" w14:textId="77777777" w:rsidR="00904A1A" w:rsidRDefault="00904A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50C55" w14:textId="77777777" w:rsidR="00C34DB8" w:rsidRDefault="00F20724">
    <w:pPr>
      <w:pStyle w:val="Header"/>
    </w:pPr>
    <w:r>
      <w:rPr>
        <w:noProof/>
      </w:rPr>
      <w:pict w14:anchorId="3DA1A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7" o:spid="_x0000_s2051" type="#_x0000_t136" style="position:absolute;left:0;text-align:left;margin-left:0;margin-top:0;width:494.9pt;height:164.95pt;rotation:315;z-index:-251658240;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C7DA" w14:textId="77777777" w:rsidR="00C34DB8" w:rsidRDefault="00F20724">
    <w:pPr>
      <w:pStyle w:val="Header"/>
    </w:pPr>
    <w:r>
      <w:rPr>
        <w:noProof/>
      </w:rPr>
      <w:pict w14:anchorId="7E43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8" o:spid="_x0000_s2052" type="#_x0000_t136" style="position:absolute;left:0;text-align:left;margin-left:0;margin-top:0;width:548.95pt;height:488.1pt;rotation:315;z-index:-251657216;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75AF1" w14:textId="77777777" w:rsidR="00C34DB8" w:rsidRDefault="00C34DB8" w:rsidP="002C472B">
    <w:pPr>
      <w:pStyle w:val="Header"/>
      <w:jc w:val="center"/>
    </w:pPr>
    <w:r>
      <w:rPr>
        <w:noProof/>
      </w:rPr>
      <w:drawing>
        <wp:inline distT="0" distB="0" distL="0" distR="0" wp14:anchorId="037AD998" wp14:editId="1AFA48CE">
          <wp:extent cx="3362325" cy="1333500"/>
          <wp:effectExtent l="0" t="0" r="9525" b="0"/>
          <wp:docPr id="1" name="Picture 1" descr="cid:image003.png@01D33E96.87D6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3E96.87D69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62325" cy="1333500"/>
                  </a:xfrm>
                  <a:prstGeom prst="rect">
                    <a:avLst/>
                  </a:prstGeom>
                  <a:noFill/>
                  <a:ln>
                    <a:noFill/>
                  </a:ln>
                </pic:spPr>
              </pic:pic>
            </a:graphicData>
          </a:graphic>
        </wp:inline>
      </w:drawing>
    </w:r>
  </w:p>
  <w:p w14:paraId="63A8965B" w14:textId="77777777" w:rsidR="00C34DB8" w:rsidRDefault="00F20724">
    <w:pPr>
      <w:pStyle w:val="Header"/>
    </w:pPr>
    <w:r>
      <w:rPr>
        <w:noProof/>
      </w:rPr>
      <w:pict w14:anchorId="0EC7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6" o:spid="_x0000_s2050" type="#_x0000_t136" style="position:absolute;left:0;text-align:left;margin-left:0;margin-top:0;width:494.9pt;height:164.95pt;rotation:315;z-index:-251659264;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E39"/>
    <w:multiLevelType w:val="hybridMultilevel"/>
    <w:tmpl w:val="FED8579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76C72"/>
    <w:multiLevelType w:val="multilevel"/>
    <w:tmpl w:val="B6D0F77A"/>
    <w:lvl w:ilvl="0">
      <w:start w:val="10"/>
      <w:numFmt w:val="decimal"/>
      <w:lvlText w:val="%1"/>
      <w:lvlJc w:val="left"/>
      <w:pPr>
        <w:ind w:left="420" w:hanging="420"/>
      </w:pPr>
      <w:rPr>
        <w:rFonts w:hint="default"/>
        <w:color w:val="auto"/>
        <w:u w:val="single"/>
      </w:rPr>
    </w:lvl>
    <w:lvl w:ilvl="1">
      <w:start w:val="1"/>
      <w:numFmt w:val="decimal"/>
      <w:lvlText w:val="%1.%2"/>
      <w:lvlJc w:val="left"/>
      <w:pPr>
        <w:ind w:left="3930" w:hanging="420"/>
      </w:pPr>
      <w:rPr>
        <w:rFonts w:hint="default"/>
        <w:b w:val="0"/>
        <w:color w:val="auto"/>
        <w:u w:val="none"/>
      </w:rPr>
    </w:lvl>
    <w:lvl w:ilvl="2">
      <w:start w:val="1"/>
      <w:numFmt w:val="decimal"/>
      <w:lvlText w:val="%1.%2.%3"/>
      <w:lvlJc w:val="left"/>
      <w:pPr>
        <w:ind w:left="900" w:hanging="720"/>
      </w:pPr>
      <w:rPr>
        <w:rFonts w:hint="default"/>
        <w:color w:val="auto"/>
        <w:u w:val="single"/>
      </w:rPr>
    </w:lvl>
    <w:lvl w:ilvl="3">
      <w:start w:val="1"/>
      <w:numFmt w:val="decimal"/>
      <w:lvlText w:val="%1.%2.%3.%4"/>
      <w:lvlJc w:val="left"/>
      <w:pPr>
        <w:ind w:left="990" w:hanging="720"/>
      </w:pPr>
      <w:rPr>
        <w:rFonts w:hint="default"/>
        <w:color w:val="auto"/>
        <w:u w:val="single"/>
      </w:rPr>
    </w:lvl>
    <w:lvl w:ilvl="4">
      <w:start w:val="1"/>
      <w:numFmt w:val="decimal"/>
      <w:lvlText w:val="%1.%2.%3.%4.%5"/>
      <w:lvlJc w:val="left"/>
      <w:pPr>
        <w:ind w:left="1440" w:hanging="1080"/>
      </w:pPr>
      <w:rPr>
        <w:rFonts w:hint="default"/>
        <w:color w:val="auto"/>
        <w:u w:val="single"/>
      </w:rPr>
    </w:lvl>
    <w:lvl w:ilvl="5">
      <w:start w:val="1"/>
      <w:numFmt w:val="decimal"/>
      <w:lvlText w:val="%1.%2.%3.%4.%5.%6"/>
      <w:lvlJc w:val="left"/>
      <w:pPr>
        <w:ind w:left="1530" w:hanging="1080"/>
      </w:pPr>
      <w:rPr>
        <w:rFonts w:hint="default"/>
        <w:color w:val="auto"/>
        <w:u w:val="single"/>
      </w:rPr>
    </w:lvl>
    <w:lvl w:ilvl="6">
      <w:start w:val="1"/>
      <w:numFmt w:val="decimal"/>
      <w:lvlText w:val="%1.%2.%3.%4.%5.%6.%7"/>
      <w:lvlJc w:val="left"/>
      <w:pPr>
        <w:ind w:left="1980" w:hanging="1440"/>
      </w:pPr>
      <w:rPr>
        <w:rFonts w:hint="default"/>
        <w:color w:val="auto"/>
        <w:u w:val="single"/>
      </w:rPr>
    </w:lvl>
    <w:lvl w:ilvl="7">
      <w:start w:val="1"/>
      <w:numFmt w:val="decimal"/>
      <w:lvlText w:val="%1.%2.%3.%4.%5.%6.%7.%8"/>
      <w:lvlJc w:val="left"/>
      <w:pPr>
        <w:ind w:left="2070" w:hanging="1440"/>
      </w:pPr>
      <w:rPr>
        <w:rFonts w:hint="default"/>
        <w:color w:val="auto"/>
        <w:u w:val="single"/>
      </w:rPr>
    </w:lvl>
    <w:lvl w:ilvl="8">
      <w:start w:val="1"/>
      <w:numFmt w:val="decimal"/>
      <w:lvlText w:val="%1.%2.%3.%4.%5.%6.%7.%8.%9"/>
      <w:lvlJc w:val="left"/>
      <w:pPr>
        <w:ind w:left="2520" w:hanging="1800"/>
      </w:pPr>
      <w:rPr>
        <w:rFonts w:hint="default"/>
        <w:color w:val="auto"/>
        <w:u w:val="single"/>
      </w:rPr>
    </w:lvl>
  </w:abstractNum>
  <w:abstractNum w:abstractNumId="2" w15:restartNumberingAfterBreak="0">
    <w:nsid w:val="0E936185"/>
    <w:multiLevelType w:val="multilevel"/>
    <w:tmpl w:val="96AE3D60"/>
    <w:lvl w:ilvl="0">
      <w:start w:val="17"/>
      <w:numFmt w:val="decimal"/>
      <w:lvlText w:val="%1."/>
      <w:lvlJc w:val="left"/>
      <w:pPr>
        <w:ind w:left="840" w:hanging="840"/>
      </w:pPr>
      <w:rPr>
        <w:rFonts w:hint="default"/>
      </w:rPr>
    </w:lvl>
    <w:lvl w:ilvl="1">
      <w:start w:val="1"/>
      <w:numFmt w:val="decimal"/>
      <w:lvlText w:val="%1.%2."/>
      <w:lvlJc w:val="left"/>
      <w:pPr>
        <w:ind w:left="2970" w:hanging="840"/>
      </w:pPr>
      <w:rPr>
        <w:rFonts w:hint="default"/>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3" w15:restartNumberingAfterBreak="0">
    <w:nsid w:val="11C57208"/>
    <w:multiLevelType w:val="multilevel"/>
    <w:tmpl w:val="974A8D02"/>
    <w:lvl w:ilvl="0">
      <w:start w:val="1"/>
      <w:numFmt w:val="decimal"/>
      <w:lvlText w:val="%1."/>
      <w:lvlJc w:val="left"/>
      <w:pPr>
        <w:ind w:left="1560" w:hanging="721"/>
      </w:pPr>
      <w:rPr>
        <w:rFonts w:ascii="Arial" w:eastAsia="Arial" w:hAnsi="Arial" w:cs="Arial" w:hint="default"/>
        <w:b/>
        <w:bCs/>
        <w:w w:val="99"/>
        <w:sz w:val="22"/>
        <w:szCs w:val="22"/>
        <w:lang w:val="en-US" w:eastAsia="en-US" w:bidi="en-US"/>
      </w:rPr>
    </w:lvl>
    <w:lvl w:ilvl="1">
      <w:start w:val="1"/>
      <w:numFmt w:val="decimal"/>
      <w:lvlText w:val="%1.%2."/>
      <w:lvlJc w:val="left"/>
      <w:pPr>
        <w:ind w:left="2280" w:hanging="721"/>
      </w:pPr>
      <w:rPr>
        <w:rFonts w:ascii="Arial" w:eastAsia="Arial" w:hAnsi="Arial" w:cs="Arial" w:hint="default"/>
        <w:w w:val="99"/>
        <w:sz w:val="22"/>
        <w:szCs w:val="22"/>
        <w:lang w:val="en-US" w:eastAsia="en-US" w:bidi="en-US"/>
      </w:rPr>
    </w:lvl>
    <w:lvl w:ilvl="2">
      <w:numFmt w:val="bullet"/>
      <w:lvlText w:val="•"/>
      <w:lvlJc w:val="left"/>
      <w:pPr>
        <w:ind w:left="3293" w:hanging="721"/>
      </w:pPr>
      <w:rPr>
        <w:rFonts w:hint="default"/>
        <w:lang w:val="en-US" w:eastAsia="en-US" w:bidi="en-US"/>
      </w:rPr>
    </w:lvl>
    <w:lvl w:ilvl="3">
      <w:numFmt w:val="bullet"/>
      <w:lvlText w:val="•"/>
      <w:lvlJc w:val="left"/>
      <w:pPr>
        <w:ind w:left="4306" w:hanging="721"/>
      </w:pPr>
      <w:rPr>
        <w:rFonts w:hint="default"/>
        <w:lang w:val="en-US" w:eastAsia="en-US" w:bidi="en-US"/>
      </w:rPr>
    </w:lvl>
    <w:lvl w:ilvl="4">
      <w:numFmt w:val="bullet"/>
      <w:lvlText w:val="•"/>
      <w:lvlJc w:val="left"/>
      <w:pPr>
        <w:ind w:left="5320" w:hanging="721"/>
      </w:pPr>
      <w:rPr>
        <w:rFonts w:hint="default"/>
        <w:lang w:val="en-US" w:eastAsia="en-US" w:bidi="en-US"/>
      </w:rPr>
    </w:lvl>
    <w:lvl w:ilvl="5">
      <w:numFmt w:val="bullet"/>
      <w:lvlText w:val="•"/>
      <w:lvlJc w:val="left"/>
      <w:pPr>
        <w:ind w:left="6333" w:hanging="721"/>
      </w:pPr>
      <w:rPr>
        <w:rFonts w:hint="default"/>
        <w:lang w:val="en-US" w:eastAsia="en-US" w:bidi="en-US"/>
      </w:rPr>
    </w:lvl>
    <w:lvl w:ilvl="6">
      <w:numFmt w:val="bullet"/>
      <w:lvlText w:val="•"/>
      <w:lvlJc w:val="left"/>
      <w:pPr>
        <w:ind w:left="7346" w:hanging="721"/>
      </w:pPr>
      <w:rPr>
        <w:rFonts w:hint="default"/>
        <w:lang w:val="en-US" w:eastAsia="en-US" w:bidi="en-US"/>
      </w:rPr>
    </w:lvl>
    <w:lvl w:ilvl="7">
      <w:numFmt w:val="bullet"/>
      <w:lvlText w:val="•"/>
      <w:lvlJc w:val="left"/>
      <w:pPr>
        <w:ind w:left="8360" w:hanging="721"/>
      </w:pPr>
      <w:rPr>
        <w:rFonts w:hint="default"/>
        <w:lang w:val="en-US" w:eastAsia="en-US" w:bidi="en-US"/>
      </w:rPr>
    </w:lvl>
    <w:lvl w:ilvl="8">
      <w:numFmt w:val="bullet"/>
      <w:lvlText w:val="•"/>
      <w:lvlJc w:val="left"/>
      <w:pPr>
        <w:ind w:left="9373" w:hanging="721"/>
      </w:pPr>
      <w:rPr>
        <w:rFonts w:hint="default"/>
        <w:lang w:val="en-US" w:eastAsia="en-US" w:bidi="en-US"/>
      </w:rPr>
    </w:lvl>
  </w:abstractNum>
  <w:abstractNum w:abstractNumId="4"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2D0439F"/>
    <w:multiLevelType w:val="multilevel"/>
    <w:tmpl w:val="F336E8C6"/>
    <w:lvl w:ilvl="0">
      <w:start w:val="7"/>
      <w:numFmt w:val="decimal"/>
      <w:lvlText w:val="%1"/>
      <w:lvlJc w:val="left"/>
      <w:pPr>
        <w:ind w:left="360" w:hanging="360"/>
      </w:pPr>
      <w:rPr>
        <w:rFonts w:hint="default"/>
        <w:u w:val="single"/>
      </w:rPr>
    </w:lvl>
    <w:lvl w:ilvl="1">
      <w:start w:val="1"/>
      <w:numFmt w:val="decimal"/>
      <w:lvlText w:val="8.%2"/>
      <w:lvlJc w:val="left"/>
      <w:pPr>
        <w:ind w:left="450" w:hanging="36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8"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9" w15:restartNumberingAfterBreak="0">
    <w:nsid w:val="42DA5B9C"/>
    <w:multiLevelType w:val="multilevel"/>
    <w:tmpl w:val="1194CE26"/>
    <w:lvl w:ilvl="0">
      <w:start w:val="1"/>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0"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1"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3129B"/>
    <w:multiLevelType w:val="multilevel"/>
    <w:tmpl w:val="826CD9B8"/>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6C2A496D"/>
    <w:multiLevelType w:val="multilevel"/>
    <w:tmpl w:val="A5C63726"/>
    <w:lvl w:ilvl="0">
      <w:start w:val="1"/>
      <w:numFmt w:val="decimal"/>
      <w:pStyle w:val="KHeading1"/>
      <w:lvlText w:val="%1."/>
      <w:lvlJc w:val="left"/>
      <w:pPr>
        <w:tabs>
          <w:tab w:val="num" w:pos="720"/>
        </w:tabs>
        <w:ind w:left="720" w:hanging="720"/>
      </w:pPr>
      <w:rPr>
        <w:rFonts w:hint="default"/>
        <w:b/>
        <w:color w:val="auto"/>
      </w:rPr>
    </w:lvl>
    <w:lvl w:ilvl="1">
      <w:start w:val="4"/>
      <w:numFmt w:val="decimal"/>
      <w:pStyle w:val="KHeading2"/>
      <w:lvlText w:val="%1.%2."/>
      <w:lvlJc w:val="left"/>
      <w:pPr>
        <w:ind w:left="1062" w:hanging="432"/>
      </w:pPr>
      <w:rPr>
        <w:rFonts w:hint="default"/>
        <w:b w:val="0"/>
        <w:i w:val="0"/>
        <w:color w:val="auto"/>
      </w:rPr>
    </w:lvl>
    <w:lvl w:ilvl="2">
      <w:start w:val="1"/>
      <w:numFmt w:val="decimal"/>
      <w:pStyle w:val="KHeading3"/>
      <w:lvlText w:val="%1.%2.%3."/>
      <w:lvlJc w:val="left"/>
      <w:pPr>
        <w:ind w:left="6894" w:hanging="504"/>
      </w:pPr>
      <w:rPr>
        <w:rFonts w:ascii="Arial" w:hAnsi="Arial" w:cs="Arial" w:hint="default"/>
        <w:color w:val="auto"/>
        <w:sz w:val="22"/>
        <w:szCs w:val="22"/>
      </w:rPr>
    </w:lvl>
    <w:lvl w:ilvl="3">
      <w:start w:val="1"/>
      <w:numFmt w:val="lowerLetter"/>
      <w:pStyle w:val="KHeading4"/>
      <w:lvlText w:val="%4."/>
      <w:lvlJc w:val="left"/>
      <w:pPr>
        <w:tabs>
          <w:tab w:val="num" w:pos="2880"/>
        </w:tabs>
        <w:ind w:left="2880" w:hanging="720"/>
      </w:pPr>
      <w:rPr>
        <w:rFonts w:ascii="Arial" w:eastAsia="Times New Roman"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2626834">
    <w:abstractNumId w:val="11"/>
  </w:num>
  <w:num w:numId="2" w16cid:durableId="1462070446">
    <w:abstractNumId w:val="6"/>
  </w:num>
  <w:num w:numId="3" w16cid:durableId="380522947">
    <w:abstractNumId w:val="5"/>
  </w:num>
  <w:num w:numId="4" w16cid:durableId="1800033271">
    <w:abstractNumId w:val="8"/>
  </w:num>
  <w:num w:numId="5" w16cid:durableId="222832256">
    <w:abstractNumId w:val="13"/>
  </w:num>
  <w:num w:numId="6" w16cid:durableId="2063361430">
    <w:abstractNumId w:val="1"/>
  </w:num>
  <w:num w:numId="7" w16cid:durableId="73742836">
    <w:abstractNumId w:val="9"/>
  </w:num>
  <w:num w:numId="8" w16cid:durableId="532889654">
    <w:abstractNumId w:val="7"/>
  </w:num>
  <w:num w:numId="9" w16cid:durableId="745568382">
    <w:abstractNumId w:val="10"/>
  </w:num>
  <w:num w:numId="10" w16cid:durableId="2001233250">
    <w:abstractNumId w:val="14"/>
  </w:num>
  <w:num w:numId="11" w16cid:durableId="660503331">
    <w:abstractNumId w:val="14"/>
  </w:num>
  <w:num w:numId="12" w16cid:durableId="124252237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022019">
    <w:abstractNumId w:val="14"/>
  </w:num>
  <w:num w:numId="14" w16cid:durableId="1989967191">
    <w:abstractNumId w:val="14"/>
  </w:num>
  <w:num w:numId="15" w16cid:durableId="1721200373">
    <w:abstractNumId w:val="14"/>
    <w:lvlOverride w:ilvl="0">
      <w:startOverride w:val="13"/>
    </w:lvlOverride>
    <w:lvlOverride w:ilvl="1">
      <w:startOverride w:val="1"/>
    </w:lvlOverride>
  </w:num>
  <w:num w:numId="16" w16cid:durableId="180600100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6651143">
    <w:abstractNumId w:val="14"/>
    <w:lvlOverride w:ilvl="0">
      <w:startOverride w:val="10"/>
    </w:lvlOverride>
    <w:lvlOverride w:ilvl="1">
      <w:startOverride w:val="1"/>
    </w:lvlOverride>
  </w:num>
  <w:num w:numId="18" w16cid:durableId="2136673665">
    <w:abstractNumId w:val="4"/>
  </w:num>
  <w:num w:numId="19" w16cid:durableId="1884632086">
    <w:abstractNumId w:val="12"/>
  </w:num>
  <w:num w:numId="20" w16cid:durableId="1802188299">
    <w:abstractNumId w:val="3"/>
  </w:num>
  <w:num w:numId="21" w16cid:durableId="2114325721">
    <w:abstractNumId w:val="14"/>
  </w:num>
  <w:num w:numId="22" w16cid:durableId="714889314">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9625646">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2369859">
    <w:abstractNumId w:val="14"/>
    <w:lvlOverride w:ilvl="0">
      <w:startOverride w:val="3"/>
    </w:lvlOverride>
    <w:lvlOverride w:ilvl="1">
      <w:startOverride w:val="1"/>
    </w:lvlOverride>
  </w:num>
  <w:num w:numId="25" w16cid:durableId="1252079873">
    <w:abstractNumId w:val="14"/>
    <w:lvlOverride w:ilvl="0">
      <w:startOverride w:val="9"/>
    </w:lvlOverride>
    <w:lvlOverride w:ilvl="1">
      <w:startOverride w:val="1"/>
    </w:lvlOverride>
  </w:num>
  <w:num w:numId="26" w16cid:durableId="140580714">
    <w:abstractNumId w:val="0"/>
  </w:num>
  <w:num w:numId="27" w16cid:durableId="177675474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4203098">
    <w:abstractNumId w:val="14"/>
  </w:num>
  <w:num w:numId="29" w16cid:durableId="1599867746">
    <w:abstractNumId w:val="14"/>
  </w:num>
  <w:num w:numId="30" w16cid:durableId="295649597">
    <w:abstractNumId w:val="14"/>
  </w:num>
  <w:num w:numId="31" w16cid:durableId="2092726596">
    <w:abstractNumId w:val="14"/>
  </w:num>
  <w:num w:numId="32" w16cid:durableId="1016420057">
    <w:abstractNumId w:val="14"/>
  </w:num>
  <w:num w:numId="33" w16cid:durableId="1088231414">
    <w:abstractNumId w:val="14"/>
  </w:num>
  <w:num w:numId="34" w16cid:durableId="1962757711">
    <w:abstractNumId w:val="14"/>
  </w:num>
  <w:num w:numId="35" w16cid:durableId="1417362058">
    <w:abstractNumId w:val="14"/>
  </w:num>
  <w:num w:numId="36" w16cid:durableId="1959096538">
    <w:abstractNumId w:val="14"/>
  </w:num>
  <w:num w:numId="37" w16cid:durableId="940338282">
    <w:abstractNumId w:val="14"/>
  </w:num>
  <w:num w:numId="38" w16cid:durableId="655383205">
    <w:abstractNumId w:val="14"/>
  </w:num>
  <w:num w:numId="39" w16cid:durableId="69742635">
    <w:abstractNumId w:val="14"/>
  </w:num>
  <w:num w:numId="40" w16cid:durableId="1925915531">
    <w:abstractNumId w:val="14"/>
  </w:num>
  <w:num w:numId="41" w16cid:durableId="57724804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3385837">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075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92273">
    <w:abstractNumId w:val="14"/>
  </w:num>
  <w:num w:numId="45" w16cid:durableId="1250773830">
    <w:abstractNumId w:val="2"/>
  </w:num>
  <w:num w:numId="46" w16cid:durableId="81653168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33018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39819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3922155">
    <w:abstractNumId w:val="14"/>
    <w:lvlOverride w:ilvl="0">
      <w:startOverride w:val="12"/>
    </w:lvlOverride>
    <w:lvlOverride w:ilvl="1">
      <w:startOverride w:val="1"/>
    </w:lvlOverride>
  </w:num>
  <w:num w:numId="50" w16cid:durableId="682125928">
    <w:abstractNumId w:val="14"/>
    <w:lvlOverride w:ilvl="0">
      <w:startOverride w:val="14"/>
    </w:lvlOverride>
    <w:lvlOverride w:ilvl="1">
      <w:startOverride w:val="1"/>
    </w:lvlOverride>
  </w:num>
  <w:num w:numId="51" w16cid:durableId="441918700">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9637887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417400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555592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336594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62590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60"/>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67"/>
    <w:rsid w:val="0000105F"/>
    <w:rsid w:val="000012AE"/>
    <w:rsid w:val="000022FA"/>
    <w:rsid w:val="00003C58"/>
    <w:rsid w:val="0000476C"/>
    <w:rsid w:val="00005B39"/>
    <w:rsid w:val="00005E1B"/>
    <w:rsid w:val="000065A0"/>
    <w:rsid w:val="000067DA"/>
    <w:rsid w:val="00006830"/>
    <w:rsid w:val="0000714F"/>
    <w:rsid w:val="000102C4"/>
    <w:rsid w:val="00010676"/>
    <w:rsid w:val="000106C6"/>
    <w:rsid w:val="00010B0A"/>
    <w:rsid w:val="00011711"/>
    <w:rsid w:val="0001402C"/>
    <w:rsid w:val="000159EC"/>
    <w:rsid w:val="0001634D"/>
    <w:rsid w:val="00017B53"/>
    <w:rsid w:val="000203CA"/>
    <w:rsid w:val="000212E2"/>
    <w:rsid w:val="00021A90"/>
    <w:rsid w:val="00022794"/>
    <w:rsid w:val="00023C0F"/>
    <w:rsid w:val="00025442"/>
    <w:rsid w:val="00026FC9"/>
    <w:rsid w:val="000306F0"/>
    <w:rsid w:val="00031375"/>
    <w:rsid w:val="00032174"/>
    <w:rsid w:val="00032B03"/>
    <w:rsid w:val="00033D89"/>
    <w:rsid w:val="00033EBC"/>
    <w:rsid w:val="00034DCE"/>
    <w:rsid w:val="00035033"/>
    <w:rsid w:val="0003530B"/>
    <w:rsid w:val="0003788D"/>
    <w:rsid w:val="00037E07"/>
    <w:rsid w:val="000406A6"/>
    <w:rsid w:val="00040A90"/>
    <w:rsid w:val="00041253"/>
    <w:rsid w:val="0004152B"/>
    <w:rsid w:val="00041B70"/>
    <w:rsid w:val="00042557"/>
    <w:rsid w:val="00042B73"/>
    <w:rsid w:val="00043656"/>
    <w:rsid w:val="00043B53"/>
    <w:rsid w:val="000458E7"/>
    <w:rsid w:val="0005056E"/>
    <w:rsid w:val="00051218"/>
    <w:rsid w:val="00051324"/>
    <w:rsid w:val="0005265B"/>
    <w:rsid w:val="00053218"/>
    <w:rsid w:val="000558FE"/>
    <w:rsid w:val="00055DC9"/>
    <w:rsid w:val="00056DB2"/>
    <w:rsid w:val="00057E9E"/>
    <w:rsid w:val="000652D2"/>
    <w:rsid w:val="00065EB3"/>
    <w:rsid w:val="00067BAA"/>
    <w:rsid w:val="0007153E"/>
    <w:rsid w:val="00073149"/>
    <w:rsid w:val="0007332D"/>
    <w:rsid w:val="00073FDE"/>
    <w:rsid w:val="00074663"/>
    <w:rsid w:val="00076A18"/>
    <w:rsid w:val="00077410"/>
    <w:rsid w:val="00077868"/>
    <w:rsid w:val="00077DA1"/>
    <w:rsid w:val="00080212"/>
    <w:rsid w:val="00081A93"/>
    <w:rsid w:val="00082F01"/>
    <w:rsid w:val="00083370"/>
    <w:rsid w:val="00083D46"/>
    <w:rsid w:val="00083D58"/>
    <w:rsid w:val="00085279"/>
    <w:rsid w:val="000854BA"/>
    <w:rsid w:val="00085EE6"/>
    <w:rsid w:val="00086147"/>
    <w:rsid w:val="0008753B"/>
    <w:rsid w:val="0009001B"/>
    <w:rsid w:val="00090095"/>
    <w:rsid w:val="0009214C"/>
    <w:rsid w:val="00092B00"/>
    <w:rsid w:val="00092E28"/>
    <w:rsid w:val="000938A7"/>
    <w:rsid w:val="00096033"/>
    <w:rsid w:val="000969DC"/>
    <w:rsid w:val="000972D5"/>
    <w:rsid w:val="000974A6"/>
    <w:rsid w:val="00097DF1"/>
    <w:rsid w:val="000A0250"/>
    <w:rsid w:val="000A08AD"/>
    <w:rsid w:val="000A154A"/>
    <w:rsid w:val="000A1946"/>
    <w:rsid w:val="000A273D"/>
    <w:rsid w:val="000A6C0F"/>
    <w:rsid w:val="000A6D2D"/>
    <w:rsid w:val="000A7391"/>
    <w:rsid w:val="000A7FFB"/>
    <w:rsid w:val="000B1603"/>
    <w:rsid w:val="000B1D97"/>
    <w:rsid w:val="000B2570"/>
    <w:rsid w:val="000B2A07"/>
    <w:rsid w:val="000B5DCE"/>
    <w:rsid w:val="000B62B8"/>
    <w:rsid w:val="000B7323"/>
    <w:rsid w:val="000C0E71"/>
    <w:rsid w:val="000C1211"/>
    <w:rsid w:val="000C19FD"/>
    <w:rsid w:val="000C1AF3"/>
    <w:rsid w:val="000C20E5"/>
    <w:rsid w:val="000C3514"/>
    <w:rsid w:val="000C3E9F"/>
    <w:rsid w:val="000C5AC0"/>
    <w:rsid w:val="000C5FE2"/>
    <w:rsid w:val="000C6664"/>
    <w:rsid w:val="000C6B12"/>
    <w:rsid w:val="000D13DE"/>
    <w:rsid w:val="000D1619"/>
    <w:rsid w:val="000D5FAE"/>
    <w:rsid w:val="000D712D"/>
    <w:rsid w:val="000D71F5"/>
    <w:rsid w:val="000E02F9"/>
    <w:rsid w:val="000E0790"/>
    <w:rsid w:val="000E125D"/>
    <w:rsid w:val="000E31E9"/>
    <w:rsid w:val="000E3D0D"/>
    <w:rsid w:val="000E4AA5"/>
    <w:rsid w:val="000E7A5C"/>
    <w:rsid w:val="000E7FC1"/>
    <w:rsid w:val="000F05B1"/>
    <w:rsid w:val="000F2710"/>
    <w:rsid w:val="000F34B4"/>
    <w:rsid w:val="000F3B1A"/>
    <w:rsid w:val="000F3CC2"/>
    <w:rsid w:val="000F4B42"/>
    <w:rsid w:val="000F7044"/>
    <w:rsid w:val="000F70FB"/>
    <w:rsid w:val="000F74FB"/>
    <w:rsid w:val="000F7851"/>
    <w:rsid w:val="000F78C2"/>
    <w:rsid w:val="001003B9"/>
    <w:rsid w:val="00100979"/>
    <w:rsid w:val="00101153"/>
    <w:rsid w:val="00101211"/>
    <w:rsid w:val="0010304B"/>
    <w:rsid w:val="001033B9"/>
    <w:rsid w:val="00103A25"/>
    <w:rsid w:val="001056DC"/>
    <w:rsid w:val="00105D43"/>
    <w:rsid w:val="0010696B"/>
    <w:rsid w:val="00106E8B"/>
    <w:rsid w:val="00107164"/>
    <w:rsid w:val="00107396"/>
    <w:rsid w:val="0010768C"/>
    <w:rsid w:val="001102E1"/>
    <w:rsid w:val="00110AF6"/>
    <w:rsid w:val="00110D25"/>
    <w:rsid w:val="0011181F"/>
    <w:rsid w:val="00111B82"/>
    <w:rsid w:val="001130D1"/>
    <w:rsid w:val="00114370"/>
    <w:rsid w:val="00115FCB"/>
    <w:rsid w:val="001163A9"/>
    <w:rsid w:val="001211CC"/>
    <w:rsid w:val="00124EBC"/>
    <w:rsid w:val="00125751"/>
    <w:rsid w:val="00126543"/>
    <w:rsid w:val="001267FA"/>
    <w:rsid w:val="001269A0"/>
    <w:rsid w:val="001302BD"/>
    <w:rsid w:val="00130E1C"/>
    <w:rsid w:val="001316DC"/>
    <w:rsid w:val="00132EE8"/>
    <w:rsid w:val="001335A1"/>
    <w:rsid w:val="0013436E"/>
    <w:rsid w:val="00134966"/>
    <w:rsid w:val="00135F42"/>
    <w:rsid w:val="00137827"/>
    <w:rsid w:val="00137F3F"/>
    <w:rsid w:val="00141133"/>
    <w:rsid w:val="00141F9C"/>
    <w:rsid w:val="00142545"/>
    <w:rsid w:val="00144858"/>
    <w:rsid w:val="00144AB1"/>
    <w:rsid w:val="00144FD9"/>
    <w:rsid w:val="0014572F"/>
    <w:rsid w:val="00145E5B"/>
    <w:rsid w:val="0014649F"/>
    <w:rsid w:val="00146519"/>
    <w:rsid w:val="00146C69"/>
    <w:rsid w:val="00150046"/>
    <w:rsid w:val="001502EA"/>
    <w:rsid w:val="00150A43"/>
    <w:rsid w:val="00152F66"/>
    <w:rsid w:val="0015328E"/>
    <w:rsid w:val="001535CC"/>
    <w:rsid w:val="001535EB"/>
    <w:rsid w:val="00153B76"/>
    <w:rsid w:val="00154E64"/>
    <w:rsid w:val="00154EFC"/>
    <w:rsid w:val="00156CA8"/>
    <w:rsid w:val="00156D0A"/>
    <w:rsid w:val="00160A88"/>
    <w:rsid w:val="00160FCF"/>
    <w:rsid w:val="001627A5"/>
    <w:rsid w:val="00165757"/>
    <w:rsid w:val="00167EAE"/>
    <w:rsid w:val="00167F7D"/>
    <w:rsid w:val="00170BB5"/>
    <w:rsid w:val="001711DC"/>
    <w:rsid w:val="00172015"/>
    <w:rsid w:val="001720A3"/>
    <w:rsid w:val="001725B6"/>
    <w:rsid w:val="00173893"/>
    <w:rsid w:val="00174DCD"/>
    <w:rsid w:val="00175579"/>
    <w:rsid w:val="00175DDA"/>
    <w:rsid w:val="00176194"/>
    <w:rsid w:val="00176994"/>
    <w:rsid w:val="00177426"/>
    <w:rsid w:val="00181239"/>
    <w:rsid w:val="001835CA"/>
    <w:rsid w:val="0018372C"/>
    <w:rsid w:val="00183D9D"/>
    <w:rsid w:val="0018494D"/>
    <w:rsid w:val="001856DB"/>
    <w:rsid w:val="00185CF2"/>
    <w:rsid w:val="00190FEC"/>
    <w:rsid w:val="00193B3C"/>
    <w:rsid w:val="001948EE"/>
    <w:rsid w:val="00195726"/>
    <w:rsid w:val="00195735"/>
    <w:rsid w:val="0019665E"/>
    <w:rsid w:val="00197910"/>
    <w:rsid w:val="001A0FB6"/>
    <w:rsid w:val="001A10F5"/>
    <w:rsid w:val="001A1DC9"/>
    <w:rsid w:val="001A25BD"/>
    <w:rsid w:val="001A3386"/>
    <w:rsid w:val="001A56C2"/>
    <w:rsid w:val="001A7AF0"/>
    <w:rsid w:val="001B01B3"/>
    <w:rsid w:val="001B0C3C"/>
    <w:rsid w:val="001B0C47"/>
    <w:rsid w:val="001B1816"/>
    <w:rsid w:val="001B3328"/>
    <w:rsid w:val="001B4955"/>
    <w:rsid w:val="001B5B98"/>
    <w:rsid w:val="001B5C60"/>
    <w:rsid w:val="001B75A4"/>
    <w:rsid w:val="001B7883"/>
    <w:rsid w:val="001B7BF8"/>
    <w:rsid w:val="001C0531"/>
    <w:rsid w:val="001C0A56"/>
    <w:rsid w:val="001C2575"/>
    <w:rsid w:val="001C4E13"/>
    <w:rsid w:val="001C57F1"/>
    <w:rsid w:val="001D11AD"/>
    <w:rsid w:val="001D195D"/>
    <w:rsid w:val="001D363E"/>
    <w:rsid w:val="001D39A4"/>
    <w:rsid w:val="001D3BD3"/>
    <w:rsid w:val="001D4015"/>
    <w:rsid w:val="001D450F"/>
    <w:rsid w:val="001D4705"/>
    <w:rsid w:val="001D4A61"/>
    <w:rsid w:val="001D6187"/>
    <w:rsid w:val="001D7E24"/>
    <w:rsid w:val="001E0324"/>
    <w:rsid w:val="001E1641"/>
    <w:rsid w:val="001E27A1"/>
    <w:rsid w:val="001E312E"/>
    <w:rsid w:val="001E4546"/>
    <w:rsid w:val="001E4D45"/>
    <w:rsid w:val="001E4EC5"/>
    <w:rsid w:val="001E516F"/>
    <w:rsid w:val="001E7407"/>
    <w:rsid w:val="001F0926"/>
    <w:rsid w:val="001F0D34"/>
    <w:rsid w:val="001F12A0"/>
    <w:rsid w:val="001F14CB"/>
    <w:rsid w:val="001F3A6E"/>
    <w:rsid w:val="001F5611"/>
    <w:rsid w:val="001F56E1"/>
    <w:rsid w:val="001F5785"/>
    <w:rsid w:val="001F61EB"/>
    <w:rsid w:val="001F62B6"/>
    <w:rsid w:val="001F72BD"/>
    <w:rsid w:val="002011D9"/>
    <w:rsid w:val="00201404"/>
    <w:rsid w:val="00203990"/>
    <w:rsid w:val="00203A63"/>
    <w:rsid w:val="00203B3D"/>
    <w:rsid w:val="002055D2"/>
    <w:rsid w:val="00205D22"/>
    <w:rsid w:val="002068D5"/>
    <w:rsid w:val="00207692"/>
    <w:rsid w:val="00207FC0"/>
    <w:rsid w:val="002113B1"/>
    <w:rsid w:val="00211982"/>
    <w:rsid w:val="0021251E"/>
    <w:rsid w:val="002125A9"/>
    <w:rsid w:val="00212760"/>
    <w:rsid w:val="0021282D"/>
    <w:rsid w:val="0021316D"/>
    <w:rsid w:val="00214227"/>
    <w:rsid w:val="00214340"/>
    <w:rsid w:val="002149B1"/>
    <w:rsid w:val="0021525F"/>
    <w:rsid w:val="0021593C"/>
    <w:rsid w:val="002175A7"/>
    <w:rsid w:val="00217C50"/>
    <w:rsid w:val="00220585"/>
    <w:rsid w:val="00222D61"/>
    <w:rsid w:val="0022401D"/>
    <w:rsid w:val="00224381"/>
    <w:rsid w:val="002247F1"/>
    <w:rsid w:val="00224B71"/>
    <w:rsid w:val="002253AD"/>
    <w:rsid w:val="002279A6"/>
    <w:rsid w:val="002304B0"/>
    <w:rsid w:val="002311D7"/>
    <w:rsid w:val="00232C14"/>
    <w:rsid w:val="00232EC5"/>
    <w:rsid w:val="002348B4"/>
    <w:rsid w:val="00235CF7"/>
    <w:rsid w:val="00236D5C"/>
    <w:rsid w:val="00237A9D"/>
    <w:rsid w:val="00237CA1"/>
    <w:rsid w:val="00240081"/>
    <w:rsid w:val="00240645"/>
    <w:rsid w:val="00240921"/>
    <w:rsid w:val="00241A52"/>
    <w:rsid w:val="0024387C"/>
    <w:rsid w:val="00244339"/>
    <w:rsid w:val="00244B5D"/>
    <w:rsid w:val="00244F6E"/>
    <w:rsid w:val="00251F09"/>
    <w:rsid w:val="00253BD1"/>
    <w:rsid w:val="002555A0"/>
    <w:rsid w:val="00255B3A"/>
    <w:rsid w:val="00256640"/>
    <w:rsid w:val="00260C86"/>
    <w:rsid w:val="00261E6B"/>
    <w:rsid w:val="00262A16"/>
    <w:rsid w:val="00262A75"/>
    <w:rsid w:val="00263061"/>
    <w:rsid w:val="002653B0"/>
    <w:rsid w:val="00266989"/>
    <w:rsid w:val="00267897"/>
    <w:rsid w:val="0027056D"/>
    <w:rsid w:val="00270937"/>
    <w:rsid w:val="00270BAC"/>
    <w:rsid w:val="002711BC"/>
    <w:rsid w:val="00271F2A"/>
    <w:rsid w:val="00273859"/>
    <w:rsid w:val="0027743C"/>
    <w:rsid w:val="002776F0"/>
    <w:rsid w:val="00277834"/>
    <w:rsid w:val="00280342"/>
    <w:rsid w:val="00281B42"/>
    <w:rsid w:val="00283A7E"/>
    <w:rsid w:val="0028477C"/>
    <w:rsid w:val="002847D1"/>
    <w:rsid w:val="00284955"/>
    <w:rsid w:val="002858CF"/>
    <w:rsid w:val="00285A0E"/>
    <w:rsid w:val="00285A3A"/>
    <w:rsid w:val="002871B2"/>
    <w:rsid w:val="00287821"/>
    <w:rsid w:val="00287AF7"/>
    <w:rsid w:val="00290071"/>
    <w:rsid w:val="0029014F"/>
    <w:rsid w:val="0029030A"/>
    <w:rsid w:val="002903E9"/>
    <w:rsid w:val="0029071B"/>
    <w:rsid w:val="00292221"/>
    <w:rsid w:val="00292AD3"/>
    <w:rsid w:val="002932A4"/>
    <w:rsid w:val="002932BE"/>
    <w:rsid w:val="00293D58"/>
    <w:rsid w:val="00296DB9"/>
    <w:rsid w:val="002A06E6"/>
    <w:rsid w:val="002A1704"/>
    <w:rsid w:val="002A1BD5"/>
    <w:rsid w:val="002A1DF7"/>
    <w:rsid w:val="002A34F2"/>
    <w:rsid w:val="002A4574"/>
    <w:rsid w:val="002A4D33"/>
    <w:rsid w:val="002A4ED4"/>
    <w:rsid w:val="002A537A"/>
    <w:rsid w:val="002A5ABD"/>
    <w:rsid w:val="002A5C26"/>
    <w:rsid w:val="002A5F0A"/>
    <w:rsid w:val="002A6CBB"/>
    <w:rsid w:val="002A6D9E"/>
    <w:rsid w:val="002B26CD"/>
    <w:rsid w:val="002B302B"/>
    <w:rsid w:val="002B5168"/>
    <w:rsid w:val="002B597E"/>
    <w:rsid w:val="002B5F55"/>
    <w:rsid w:val="002B654F"/>
    <w:rsid w:val="002B7B05"/>
    <w:rsid w:val="002B7C9C"/>
    <w:rsid w:val="002B7D74"/>
    <w:rsid w:val="002C14D5"/>
    <w:rsid w:val="002C1B6E"/>
    <w:rsid w:val="002C1F4F"/>
    <w:rsid w:val="002C2804"/>
    <w:rsid w:val="002C3491"/>
    <w:rsid w:val="002C472B"/>
    <w:rsid w:val="002C51B9"/>
    <w:rsid w:val="002C5560"/>
    <w:rsid w:val="002C5FBD"/>
    <w:rsid w:val="002C70DE"/>
    <w:rsid w:val="002C7C3B"/>
    <w:rsid w:val="002D0C95"/>
    <w:rsid w:val="002D1672"/>
    <w:rsid w:val="002D1710"/>
    <w:rsid w:val="002D1B75"/>
    <w:rsid w:val="002D225F"/>
    <w:rsid w:val="002D2A21"/>
    <w:rsid w:val="002D374A"/>
    <w:rsid w:val="002D4227"/>
    <w:rsid w:val="002D4ED0"/>
    <w:rsid w:val="002D555F"/>
    <w:rsid w:val="002D5934"/>
    <w:rsid w:val="002D5B48"/>
    <w:rsid w:val="002D5F0E"/>
    <w:rsid w:val="002D68AB"/>
    <w:rsid w:val="002D6A46"/>
    <w:rsid w:val="002D7D83"/>
    <w:rsid w:val="002E0559"/>
    <w:rsid w:val="002E087F"/>
    <w:rsid w:val="002E0EC9"/>
    <w:rsid w:val="002E1206"/>
    <w:rsid w:val="002E15A2"/>
    <w:rsid w:val="002E2E99"/>
    <w:rsid w:val="002E5A2F"/>
    <w:rsid w:val="002E5B6F"/>
    <w:rsid w:val="002E7E17"/>
    <w:rsid w:val="002F0AE2"/>
    <w:rsid w:val="002F0B60"/>
    <w:rsid w:val="002F2B73"/>
    <w:rsid w:val="002F397A"/>
    <w:rsid w:val="002F5A60"/>
    <w:rsid w:val="002F6C10"/>
    <w:rsid w:val="0030208C"/>
    <w:rsid w:val="00302A89"/>
    <w:rsid w:val="00303EA5"/>
    <w:rsid w:val="00305759"/>
    <w:rsid w:val="003059D9"/>
    <w:rsid w:val="003061F5"/>
    <w:rsid w:val="00307045"/>
    <w:rsid w:val="00307EC5"/>
    <w:rsid w:val="00310104"/>
    <w:rsid w:val="00310C9A"/>
    <w:rsid w:val="00311741"/>
    <w:rsid w:val="00311C68"/>
    <w:rsid w:val="003124DC"/>
    <w:rsid w:val="003127B3"/>
    <w:rsid w:val="00312D83"/>
    <w:rsid w:val="0031325B"/>
    <w:rsid w:val="003137A5"/>
    <w:rsid w:val="00314A01"/>
    <w:rsid w:val="00314D4E"/>
    <w:rsid w:val="00315055"/>
    <w:rsid w:val="0031575E"/>
    <w:rsid w:val="00315CCC"/>
    <w:rsid w:val="003213A1"/>
    <w:rsid w:val="0032296A"/>
    <w:rsid w:val="00323C5A"/>
    <w:rsid w:val="00324A4A"/>
    <w:rsid w:val="00324F3E"/>
    <w:rsid w:val="00325192"/>
    <w:rsid w:val="00330B52"/>
    <w:rsid w:val="00331CBA"/>
    <w:rsid w:val="00331D03"/>
    <w:rsid w:val="00331D6C"/>
    <w:rsid w:val="00332751"/>
    <w:rsid w:val="00332AD0"/>
    <w:rsid w:val="00332CB2"/>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865"/>
    <w:rsid w:val="00344C54"/>
    <w:rsid w:val="00345F6A"/>
    <w:rsid w:val="003479FD"/>
    <w:rsid w:val="0035009B"/>
    <w:rsid w:val="00350A3D"/>
    <w:rsid w:val="00351ADC"/>
    <w:rsid w:val="00352E22"/>
    <w:rsid w:val="00352F22"/>
    <w:rsid w:val="0035404C"/>
    <w:rsid w:val="003541C9"/>
    <w:rsid w:val="003541D3"/>
    <w:rsid w:val="00354BD4"/>
    <w:rsid w:val="00356832"/>
    <w:rsid w:val="003570E1"/>
    <w:rsid w:val="003577D3"/>
    <w:rsid w:val="00360724"/>
    <w:rsid w:val="003634B5"/>
    <w:rsid w:val="003634BC"/>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1CB4"/>
    <w:rsid w:val="00381EDC"/>
    <w:rsid w:val="00383392"/>
    <w:rsid w:val="00383B28"/>
    <w:rsid w:val="00384496"/>
    <w:rsid w:val="00384728"/>
    <w:rsid w:val="00387F9A"/>
    <w:rsid w:val="003901B9"/>
    <w:rsid w:val="003901DB"/>
    <w:rsid w:val="0039119B"/>
    <w:rsid w:val="00391BE5"/>
    <w:rsid w:val="00392B61"/>
    <w:rsid w:val="00392DCF"/>
    <w:rsid w:val="0039354F"/>
    <w:rsid w:val="00393DEA"/>
    <w:rsid w:val="00393F3B"/>
    <w:rsid w:val="00394FF4"/>
    <w:rsid w:val="00395833"/>
    <w:rsid w:val="003977A6"/>
    <w:rsid w:val="003A1318"/>
    <w:rsid w:val="003A2211"/>
    <w:rsid w:val="003A2217"/>
    <w:rsid w:val="003A22A3"/>
    <w:rsid w:val="003A237F"/>
    <w:rsid w:val="003A28A7"/>
    <w:rsid w:val="003A2BC1"/>
    <w:rsid w:val="003A300A"/>
    <w:rsid w:val="003A318F"/>
    <w:rsid w:val="003A434F"/>
    <w:rsid w:val="003A498E"/>
    <w:rsid w:val="003A7993"/>
    <w:rsid w:val="003B1007"/>
    <w:rsid w:val="003B1407"/>
    <w:rsid w:val="003B1DD2"/>
    <w:rsid w:val="003B2B04"/>
    <w:rsid w:val="003B2F9D"/>
    <w:rsid w:val="003B4B1A"/>
    <w:rsid w:val="003B63D8"/>
    <w:rsid w:val="003B6CEC"/>
    <w:rsid w:val="003B7015"/>
    <w:rsid w:val="003B7A18"/>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489"/>
    <w:rsid w:val="003D3E1E"/>
    <w:rsid w:val="003D569C"/>
    <w:rsid w:val="003D57FE"/>
    <w:rsid w:val="003D6336"/>
    <w:rsid w:val="003D79C7"/>
    <w:rsid w:val="003E0902"/>
    <w:rsid w:val="003E118B"/>
    <w:rsid w:val="003E2180"/>
    <w:rsid w:val="003E29E0"/>
    <w:rsid w:val="003E3598"/>
    <w:rsid w:val="003E3E18"/>
    <w:rsid w:val="003E3F8F"/>
    <w:rsid w:val="003E40E2"/>
    <w:rsid w:val="003E45FD"/>
    <w:rsid w:val="003E6A69"/>
    <w:rsid w:val="003E77F0"/>
    <w:rsid w:val="003E7971"/>
    <w:rsid w:val="003E7B38"/>
    <w:rsid w:val="003F25C9"/>
    <w:rsid w:val="003F27B8"/>
    <w:rsid w:val="003F2E12"/>
    <w:rsid w:val="003F2E73"/>
    <w:rsid w:val="003F3E7E"/>
    <w:rsid w:val="003F4581"/>
    <w:rsid w:val="003F4E54"/>
    <w:rsid w:val="003F5F61"/>
    <w:rsid w:val="003F6C2A"/>
    <w:rsid w:val="003F76B0"/>
    <w:rsid w:val="003F7EDF"/>
    <w:rsid w:val="004011C7"/>
    <w:rsid w:val="004023DE"/>
    <w:rsid w:val="00402530"/>
    <w:rsid w:val="004037EA"/>
    <w:rsid w:val="004060BA"/>
    <w:rsid w:val="00406FB1"/>
    <w:rsid w:val="0041023F"/>
    <w:rsid w:val="00410281"/>
    <w:rsid w:val="004106BB"/>
    <w:rsid w:val="0041075D"/>
    <w:rsid w:val="0041077D"/>
    <w:rsid w:val="0041141D"/>
    <w:rsid w:val="00411854"/>
    <w:rsid w:val="004119F3"/>
    <w:rsid w:val="00411B2C"/>
    <w:rsid w:val="00413EF2"/>
    <w:rsid w:val="00413FFF"/>
    <w:rsid w:val="00415A29"/>
    <w:rsid w:val="0041606B"/>
    <w:rsid w:val="004176F8"/>
    <w:rsid w:val="004177FB"/>
    <w:rsid w:val="0042004F"/>
    <w:rsid w:val="004211A9"/>
    <w:rsid w:val="00421B20"/>
    <w:rsid w:val="00421F41"/>
    <w:rsid w:val="0042222F"/>
    <w:rsid w:val="00422F11"/>
    <w:rsid w:val="00423BAE"/>
    <w:rsid w:val="00425943"/>
    <w:rsid w:val="00426E41"/>
    <w:rsid w:val="00426E50"/>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501D"/>
    <w:rsid w:val="00445186"/>
    <w:rsid w:val="00447738"/>
    <w:rsid w:val="004479D3"/>
    <w:rsid w:val="00451C53"/>
    <w:rsid w:val="00451F81"/>
    <w:rsid w:val="004526AA"/>
    <w:rsid w:val="0045530B"/>
    <w:rsid w:val="004558EB"/>
    <w:rsid w:val="00455DBC"/>
    <w:rsid w:val="00456920"/>
    <w:rsid w:val="0045699F"/>
    <w:rsid w:val="0046083C"/>
    <w:rsid w:val="00461E39"/>
    <w:rsid w:val="00462F04"/>
    <w:rsid w:val="004646E6"/>
    <w:rsid w:val="004651E5"/>
    <w:rsid w:val="00465624"/>
    <w:rsid w:val="00465C70"/>
    <w:rsid w:val="00466A49"/>
    <w:rsid w:val="00467C05"/>
    <w:rsid w:val="00471B6D"/>
    <w:rsid w:val="0047217D"/>
    <w:rsid w:val="004722FB"/>
    <w:rsid w:val="00472C86"/>
    <w:rsid w:val="00473212"/>
    <w:rsid w:val="00474FD8"/>
    <w:rsid w:val="00476ADA"/>
    <w:rsid w:val="00477068"/>
    <w:rsid w:val="0047726B"/>
    <w:rsid w:val="004815EF"/>
    <w:rsid w:val="00481F36"/>
    <w:rsid w:val="00482E78"/>
    <w:rsid w:val="0048377E"/>
    <w:rsid w:val="00485B35"/>
    <w:rsid w:val="004869FF"/>
    <w:rsid w:val="004874AF"/>
    <w:rsid w:val="00490C01"/>
    <w:rsid w:val="00490C10"/>
    <w:rsid w:val="00491409"/>
    <w:rsid w:val="00491966"/>
    <w:rsid w:val="00493D69"/>
    <w:rsid w:val="004948CD"/>
    <w:rsid w:val="00494BE0"/>
    <w:rsid w:val="00495AEA"/>
    <w:rsid w:val="0049621C"/>
    <w:rsid w:val="004964A7"/>
    <w:rsid w:val="00496D2C"/>
    <w:rsid w:val="00497371"/>
    <w:rsid w:val="004A08C3"/>
    <w:rsid w:val="004A1F23"/>
    <w:rsid w:val="004A23D3"/>
    <w:rsid w:val="004A3BA7"/>
    <w:rsid w:val="004A72E4"/>
    <w:rsid w:val="004A77FE"/>
    <w:rsid w:val="004B170E"/>
    <w:rsid w:val="004B2CF2"/>
    <w:rsid w:val="004B322F"/>
    <w:rsid w:val="004B357D"/>
    <w:rsid w:val="004B3ECC"/>
    <w:rsid w:val="004B54E9"/>
    <w:rsid w:val="004B5A57"/>
    <w:rsid w:val="004B5BC8"/>
    <w:rsid w:val="004B7654"/>
    <w:rsid w:val="004B78A3"/>
    <w:rsid w:val="004C09B0"/>
    <w:rsid w:val="004C11BF"/>
    <w:rsid w:val="004C25EE"/>
    <w:rsid w:val="004C29D2"/>
    <w:rsid w:val="004C4FC3"/>
    <w:rsid w:val="004C5DB4"/>
    <w:rsid w:val="004C6677"/>
    <w:rsid w:val="004C7660"/>
    <w:rsid w:val="004C7C7C"/>
    <w:rsid w:val="004D1013"/>
    <w:rsid w:val="004D115C"/>
    <w:rsid w:val="004D1A66"/>
    <w:rsid w:val="004D1AD3"/>
    <w:rsid w:val="004D2606"/>
    <w:rsid w:val="004D3819"/>
    <w:rsid w:val="004D3C57"/>
    <w:rsid w:val="004D3DF7"/>
    <w:rsid w:val="004D4DF1"/>
    <w:rsid w:val="004D5677"/>
    <w:rsid w:val="004D57DD"/>
    <w:rsid w:val="004D70B9"/>
    <w:rsid w:val="004E04AD"/>
    <w:rsid w:val="004E0C7B"/>
    <w:rsid w:val="004E236B"/>
    <w:rsid w:val="004E2ED9"/>
    <w:rsid w:val="004E3326"/>
    <w:rsid w:val="004E446A"/>
    <w:rsid w:val="004E5522"/>
    <w:rsid w:val="004E5C5F"/>
    <w:rsid w:val="004E6C4D"/>
    <w:rsid w:val="004E739C"/>
    <w:rsid w:val="004E7B42"/>
    <w:rsid w:val="004F0F98"/>
    <w:rsid w:val="004F1D2E"/>
    <w:rsid w:val="004F2AA4"/>
    <w:rsid w:val="004F2D99"/>
    <w:rsid w:val="004F406C"/>
    <w:rsid w:val="004F457A"/>
    <w:rsid w:val="004F47BE"/>
    <w:rsid w:val="004F565D"/>
    <w:rsid w:val="004F5B05"/>
    <w:rsid w:val="004F5CB6"/>
    <w:rsid w:val="004F67E7"/>
    <w:rsid w:val="004F7537"/>
    <w:rsid w:val="00502197"/>
    <w:rsid w:val="005034E4"/>
    <w:rsid w:val="005036B9"/>
    <w:rsid w:val="00503D30"/>
    <w:rsid w:val="005048C5"/>
    <w:rsid w:val="00504E68"/>
    <w:rsid w:val="0050675E"/>
    <w:rsid w:val="0050678A"/>
    <w:rsid w:val="00507F4F"/>
    <w:rsid w:val="005107DB"/>
    <w:rsid w:val="00514618"/>
    <w:rsid w:val="0051526B"/>
    <w:rsid w:val="00515608"/>
    <w:rsid w:val="00517C1A"/>
    <w:rsid w:val="00517E90"/>
    <w:rsid w:val="00520B1C"/>
    <w:rsid w:val="00520FA4"/>
    <w:rsid w:val="005210BD"/>
    <w:rsid w:val="0052123E"/>
    <w:rsid w:val="00522008"/>
    <w:rsid w:val="00522935"/>
    <w:rsid w:val="00522937"/>
    <w:rsid w:val="00523248"/>
    <w:rsid w:val="00523D1B"/>
    <w:rsid w:val="00523D42"/>
    <w:rsid w:val="005247F1"/>
    <w:rsid w:val="00524AE9"/>
    <w:rsid w:val="00525A28"/>
    <w:rsid w:val="0052642B"/>
    <w:rsid w:val="00527B09"/>
    <w:rsid w:val="00530107"/>
    <w:rsid w:val="005308A8"/>
    <w:rsid w:val="00531F75"/>
    <w:rsid w:val="00532D2D"/>
    <w:rsid w:val="005330CF"/>
    <w:rsid w:val="00535E73"/>
    <w:rsid w:val="00536B50"/>
    <w:rsid w:val="0053746D"/>
    <w:rsid w:val="00537605"/>
    <w:rsid w:val="005402D3"/>
    <w:rsid w:val="00540455"/>
    <w:rsid w:val="005417E6"/>
    <w:rsid w:val="005418BA"/>
    <w:rsid w:val="00541BD7"/>
    <w:rsid w:val="00541FFA"/>
    <w:rsid w:val="00543ADD"/>
    <w:rsid w:val="005449E1"/>
    <w:rsid w:val="00545086"/>
    <w:rsid w:val="0054623A"/>
    <w:rsid w:val="00547AB3"/>
    <w:rsid w:val="00551575"/>
    <w:rsid w:val="00551DD5"/>
    <w:rsid w:val="005521FB"/>
    <w:rsid w:val="00552CEC"/>
    <w:rsid w:val="00552EF0"/>
    <w:rsid w:val="005537F3"/>
    <w:rsid w:val="005607FA"/>
    <w:rsid w:val="00561303"/>
    <w:rsid w:val="00562D11"/>
    <w:rsid w:val="00564441"/>
    <w:rsid w:val="00564948"/>
    <w:rsid w:val="005650E5"/>
    <w:rsid w:val="005655A7"/>
    <w:rsid w:val="005659D2"/>
    <w:rsid w:val="00567FC4"/>
    <w:rsid w:val="00570773"/>
    <w:rsid w:val="00571B66"/>
    <w:rsid w:val="00572B3A"/>
    <w:rsid w:val="00572D4C"/>
    <w:rsid w:val="005747D0"/>
    <w:rsid w:val="00574EF8"/>
    <w:rsid w:val="00575D00"/>
    <w:rsid w:val="005764B0"/>
    <w:rsid w:val="00576879"/>
    <w:rsid w:val="00577534"/>
    <w:rsid w:val="00580B5A"/>
    <w:rsid w:val="00580FAB"/>
    <w:rsid w:val="00581261"/>
    <w:rsid w:val="00581EF4"/>
    <w:rsid w:val="00582699"/>
    <w:rsid w:val="00583D84"/>
    <w:rsid w:val="00584769"/>
    <w:rsid w:val="00584BCD"/>
    <w:rsid w:val="005874A6"/>
    <w:rsid w:val="005912FB"/>
    <w:rsid w:val="00591EAD"/>
    <w:rsid w:val="0059202B"/>
    <w:rsid w:val="00592747"/>
    <w:rsid w:val="005949B3"/>
    <w:rsid w:val="00594FEC"/>
    <w:rsid w:val="0059506A"/>
    <w:rsid w:val="00595FA7"/>
    <w:rsid w:val="00596719"/>
    <w:rsid w:val="00597CE8"/>
    <w:rsid w:val="005A1901"/>
    <w:rsid w:val="005A1B18"/>
    <w:rsid w:val="005A2190"/>
    <w:rsid w:val="005A2483"/>
    <w:rsid w:val="005A4215"/>
    <w:rsid w:val="005A437C"/>
    <w:rsid w:val="005A5261"/>
    <w:rsid w:val="005A5429"/>
    <w:rsid w:val="005A5A6E"/>
    <w:rsid w:val="005A7881"/>
    <w:rsid w:val="005B09F1"/>
    <w:rsid w:val="005B119D"/>
    <w:rsid w:val="005B15C6"/>
    <w:rsid w:val="005B1FFC"/>
    <w:rsid w:val="005B2659"/>
    <w:rsid w:val="005B271C"/>
    <w:rsid w:val="005B555C"/>
    <w:rsid w:val="005B5FC0"/>
    <w:rsid w:val="005B6DD6"/>
    <w:rsid w:val="005C1088"/>
    <w:rsid w:val="005C126F"/>
    <w:rsid w:val="005C1341"/>
    <w:rsid w:val="005C16F5"/>
    <w:rsid w:val="005C194C"/>
    <w:rsid w:val="005C21BA"/>
    <w:rsid w:val="005C36EA"/>
    <w:rsid w:val="005C3CA0"/>
    <w:rsid w:val="005C45E8"/>
    <w:rsid w:val="005C4E0D"/>
    <w:rsid w:val="005C4EC7"/>
    <w:rsid w:val="005C5C56"/>
    <w:rsid w:val="005C69DD"/>
    <w:rsid w:val="005C7894"/>
    <w:rsid w:val="005D0984"/>
    <w:rsid w:val="005D10D6"/>
    <w:rsid w:val="005D2541"/>
    <w:rsid w:val="005D36C8"/>
    <w:rsid w:val="005D4748"/>
    <w:rsid w:val="005D4CE0"/>
    <w:rsid w:val="005D6388"/>
    <w:rsid w:val="005D6D49"/>
    <w:rsid w:val="005D7207"/>
    <w:rsid w:val="005D766C"/>
    <w:rsid w:val="005D7F0D"/>
    <w:rsid w:val="005E003E"/>
    <w:rsid w:val="005E0570"/>
    <w:rsid w:val="005E2297"/>
    <w:rsid w:val="005E22A1"/>
    <w:rsid w:val="005E413D"/>
    <w:rsid w:val="005E4286"/>
    <w:rsid w:val="005E4825"/>
    <w:rsid w:val="005E4B00"/>
    <w:rsid w:val="005E5497"/>
    <w:rsid w:val="005E5B9F"/>
    <w:rsid w:val="005E6D07"/>
    <w:rsid w:val="005E74D0"/>
    <w:rsid w:val="005E7BCA"/>
    <w:rsid w:val="005F0D77"/>
    <w:rsid w:val="005F17DC"/>
    <w:rsid w:val="005F22D1"/>
    <w:rsid w:val="005F34C4"/>
    <w:rsid w:val="005F411D"/>
    <w:rsid w:val="005F42BE"/>
    <w:rsid w:val="005F462E"/>
    <w:rsid w:val="005F5F30"/>
    <w:rsid w:val="005F5F8E"/>
    <w:rsid w:val="005F66CC"/>
    <w:rsid w:val="005F789D"/>
    <w:rsid w:val="005F7E32"/>
    <w:rsid w:val="0060053C"/>
    <w:rsid w:val="00600F06"/>
    <w:rsid w:val="00601DDF"/>
    <w:rsid w:val="006028C6"/>
    <w:rsid w:val="006031A7"/>
    <w:rsid w:val="0060494D"/>
    <w:rsid w:val="00604B76"/>
    <w:rsid w:val="00605303"/>
    <w:rsid w:val="00605393"/>
    <w:rsid w:val="00605441"/>
    <w:rsid w:val="00605AD9"/>
    <w:rsid w:val="00606208"/>
    <w:rsid w:val="00606DF0"/>
    <w:rsid w:val="00607B2A"/>
    <w:rsid w:val="006111A5"/>
    <w:rsid w:val="006111DF"/>
    <w:rsid w:val="006117B6"/>
    <w:rsid w:val="006126A6"/>
    <w:rsid w:val="0061479A"/>
    <w:rsid w:val="006159BC"/>
    <w:rsid w:val="006168DD"/>
    <w:rsid w:val="00616F1E"/>
    <w:rsid w:val="00617D81"/>
    <w:rsid w:val="006207BA"/>
    <w:rsid w:val="00620B8D"/>
    <w:rsid w:val="0062108E"/>
    <w:rsid w:val="00622830"/>
    <w:rsid w:val="0062300F"/>
    <w:rsid w:val="00623026"/>
    <w:rsid w:val="006230BF"/>
    <w:rsid w:val="006230DB"/>
    <w:rsid w:val="00623C7B"/>
    <w:rsid w:val="00624702"/>
    <w:rsid w:val="00624CCE"/>
    <w:rsid w:val="00625F34"/>
    <w:rsid w:val="0062630D"/>
    <w:rsid w:val="006275BC"/>
    <w:rsid w:val="00627D1D"/>
    <w:rsid w:val="00630981"/>
    <w:rsid w:val="006313EE"/>
    <w:rsid w:val="00632390"/>
    <w:rsid w:val="0063499F"/>
    <w:rsid w:val="00634DAD"/>
    <w:rsid w:val="00636993"/>
    <w:rsid w:val="00636E27"/>
    <w:rsid w:val="00637998"/>
    <w:rsid w:val="00640018"/>
    <w:rsid w:val="0064241E"/>
    <w:rsid w:val="00643CDF"/>
    <w:rsid w:val="00643FED"/>
    <w:rsid w:val="00643FFB"/>
    <w:rsid w:val="0064410E"/>
    <w:rsid w:val="00644440"/>
    <w:rsid w:val="00645272"/>
    <w:rsid w:val="00645B76"/>
    <w:rsid w:val="00645F9F"/>
    <w:rsid w:val="00647A6C"/>
    <w:rsid w:val="00647C48"/>
    <w:rsid w:val="006510D9"/>
    <w:rsid w:val="006512D5"/>
    <w:rsid w:val="00651802"/>
    <w:rsid w:val="00651E91"/>
    <w:rsid w:val="006525F1"/>
    <w:rsid w:val="00653BD2"/>
    <w:rsid w:val="00654901"/>
    <w:rsid w:val="00654EBE"/>
    <w:rsid w:val="00655071"/>
    <w:rsid w:val="00655079"/>
    <w:rsid w:val="00655107"/>
    <w:rsid w:val="00656CB9"/>
    <w:rsid w:val="00657EF0"/>
    <w:rsid w:val="00660A0B"/>
    <w:rsid w:val="0066132A"/>
    <w:rsid w:val="00661A0D"/>
    <w:rsid w:val="00661E0B"/>
    <w:rsid w:val="006621A8"/>
    <w:rsid w:val="006629D4"/>
    <w:rsid w:val="00663183"/>
    <w:rsid w:val="006635EE"/>
    <w:rsid w:val="00664C96"/>
    <w:rsid w:val="00664D8A"/>
    <w:rsid w:val="006655DC"/>
    <w:rsid w:val="00667780"/>
    <w:rsid w:val="006677C1"/>
    <w:rsid w:val="006703B5"/>
    <w:rsid w:val="00670CE3"/>
    <w:rsid w:val="006721AD"/>
    <w:rsid w:val="00672AD4"/>
    <w:rsid w:val="0067346A"/>
    <w:rsid w:val="0067366F"/>
    <w:rsid w:val="00675711"/>
    <w:rsid w:val="00676853"/>
    <w:rsid w:val="00676D9B"/>
    <w:rsid w:val="00680142"/>
    <w:rsid w:val="00680CAC"/>
    <w:rsid w:val="0068192E"/>
    <w:rsid w:val="00683413"/>
    <w:rsid w:val="006835B9"/>
    <w:rsid w:val="00683FE9"/>
    <w:rsid w:val="006841E0"/>
    <w:rsid w:val="006845B2"/>
    <w:rsid w:val="00685912"/>
    <w:rsid w:val="00686A84"/>
    <w:rsid w:val="006873F8"/>
    <w:rsid w:val="00692C39"/>
    <w:rsid w:val="00694407"/>
    <w:rsid w:val="006945EE"/>
    <w:rsid w:val="00694F24"/>
    <w:rsid w:val="00695255"/>
    <w:rsid w:val="00695C2E"/>
    <w:rsid w:val="006A0815"/>
    <w:rsid w:val="006A19F9"/>
    <w:rsid w:val="006A3F28"/>
    <w:rsid w:val="006A4AAC"/>
    <w:rsid w:val="006A5A63"/>
    <w:rsid w:val="006A63B6"/>
    <w:rsid w:val="006A6611"/>
    <w:rsid w:val="006A7891"/>
    <w:rsid w:val="006B11FE"/>
    <w:rsid w:val="006B1D5B"/>
    <w:rsid w:val="006B2481"/>
    <w:rsid w:val="006B26AA"/>
    <w:rsid w:val="006B29E6"/>
    <w:rsid w:val="006B3291"/>
    <w:rsid w:val="006B39D5"/>
    <w:rsid w:val="006B3DB4"/>
    <w:rsid w:val="006B5C20"/>
    <w:rsid w:val="006B5E44"/>
    <w:rsid w:val="006B6333"/>
    <w:rsid w:val="006B78A4"/>
    <w:rsid w:val="006B7F52"/>
    <w:rsid w:val="006C04F2"/>
    <w:rsid w:val="006C067E"/>
    <w:rsid w:val="006C11FE"/>
    <w:rsid w:val="006C125B"/>
    <w:rsid w:val="006C18FC"/>
    <w:rsid w:val="006C2EA8"/>
    <w:rsid w:val="006C2EF7"/>
    <w:rsid w:val="006C3AE7"/>
    <w:rsid w:val="006C4B21"/>
    <w:rsid w:val="006C5B58"/>
    <w:rsid w:val="006C6F85"/>
    <w:rsid w:val="006C77CC"/>
    <w:rsid w:val="006D01C3"/>
    <w:rsid w:val="006D2585"/>
    <w:rsid w:val="006D2CD2"/>
    <w:rsid w:val="006D2D67"/>
    <w:rsid w:val="006D3E62"/>
    <w:rsid w:val="006D4753"/>
    <w:rsid w:val="006D5213"/>
    <w:rsid w:val="006D6E85"/>
    <w:rsid w:val="006D7FFC"/>
    <w:rsid w:val="006E04E3"/>
    <w:rsid w:val="006E3527"/>
    <w:rsid w:val="006E3865"/>
    <w:rsid w:val="006E490A"/>
    <w:rsid w:val="006E5432"/>
    <w:rsid w:val="006E54C5"/>
    <w:rsid w:val="006E6815"/>
    <w:rsid w:val="006E7454"/>
    <w:rsid w:val="006F032E"/>
    <w:rsid w:val="006F03D5"/>
    <w:rsid w:val="006F1FC7"/>
    <w:rsid w:val="006F1FE2"/>
    <w:rsid w:val="006F2C50"/>
    <w:rsid w:val="006F30C4"/>
    <w:rsid w:val="006F3B3B"/>
    <w:rsid w:val="006F4B9F"/>
    <w:rsid w:val="006F4E12"/>
    <w:rsid w:val="006F50F7"/>
    <w:rsid w:val="006F53B3"/>
    <w:rsid w:val="006F6A52"/>
    <w:rsid w:val="006F7C54"/>
    <w:rsid w:val="00702664"/>
    <w:rsid w:val="00702747"/>
    <w:rsid w:val="00703BFA"/>
    <w:rsid w:val="007060E1"/>
    <w:rsid w:val="00706BB0"/>
    <w:rsid w:val="00707605"/>
    <w:rsid w:val="00710A37"/>
    <w:rsid w:val="00710AD5"/>
    <w:rsid w:val="00711115"/>
    <w:rsid w:val="00711AE0"/>
    <w:rsid w:val="0071201D"/>
    <w:rsid w:val="0071221F"/>
    <w:rsid w:val="00713913"/>
    <w:rsid w:val="00714C85"/>
    <w:rsid w:val="007208D0"/>
    <w:rsid w:val="00721B68"/>
    <w:rsid w:val="00725360"/>
    <w:rsid w:val="007262CA"/>
    <w:rsid w:val="00726ED8"/>
    <w:rsid w:val="00731BD7"/>
    <w:rsid w:val="007344EA"/>
    <w:rsid w:val="00735706"/>
    <w:rsid w:val="00736385"/>
    <w:rsid w:val="00737295"/>
    <w:rsid w:val="00737434"/>
    <w:rsid w:val="00737E5D"/>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5EEE"/>
    <w:rsid w:val="0074644D"/>
    <w:rsid w:val="00746638"/>
    <w:rsid w:val="00746858"/>
    <w:rsid w:val="00751863"/>
    <w:rsid w:val="0075199D"/>
    <w:rsid w:val="00751D42"/>
    <w:rsid w:val="00751DF2"/>
    <w:rsid w:val="0075248E"/>
    <w:rsid w:val="007524FA"/>
    <w:rsid w:val="0075444D"/>
    <w:rsid w:val="0075576E"/>
    <w:rsid w:val="007569A8"/>
    <w:rsid w:val="007570B9"/>
    <w:rsid w:val="00760B1D"/>
    <w:rsid w:val="007615CA"/>
    <w:rsid w:val="00762781"/>
    <w:rsid w:val="00762F84"/>
    <w:rsid w:val="00764967"/>
    <w:rsid w:val="00764B73"/>
    <w:rsid w:val="00764BBC"/>
    <w:rsid w:val="007660DE"/>
    <w:rsid w:val="00767262"/>
    <w:rsid w:val="0077002C"/>
    <w:rsid w:val="00770635"/>
    <w:rsid w:val="0077152B"/>
    <w:rsid w:val="007736D1"/>
    <w:rsid w:val="007739BD"/>
    <w:rsid w:val="00773C54"/>
    <w:rsid w:val="00774AEE"/>
    <w:rsid w:val="00776772"/>
    <w:rsid w:val="00776E70"/>
    <w:rsid w:val="0078038F"/>
    <w:rsid w:val="00781433"/>
    <w:rsid w:val="0078325C"/>
    <w:rsid w:val="007840DD"/>
    <w:rsid w:val="00785659"/>
    <w:rsid w:val="007912B4"/>
    <w:rsid w:val="00792EBF"/>
    <w:rsid w:val="0079346E"/>
    <w:rsid w:val="00793B31"/>
    <w:rsid w:val="00794742"/>
    <w:rsid w:val="0079491A"/>
    <w:rsid w:val="00795812"/>
    <w:rsid w:val="00795AB0"/>
    <w:rsid w:val="007976F4"/>
    <w:rsid w:val="00797A53"/>
    <w:rsid w:val="007A0D9A"/>
    <w:rsid w:val="007A11F8"/>
    <w:rsid w:val="007A14C9"/>
    <w:rsid w:val="007A15BA"/>
    <w:rsid w:val="007A26B8"/>
    <w:rsid w:val="007A36F7"/>
    <w:rsid w:val="007A3E4A"/>
    <w:rsid w:val="007A49B9"/>
    <w:rsid w:val="007A5100"/>
    <w:rsid w:val="007A6042"/>
    <w:rsid w:val="007A66B4"/>
    <w:rsid w:val="007A71C1"/>
    <w:rsid w:val="007A73BB"/>
    <w:rsid w:val="007A73D2"/>
    <w:rsid w:val="007A7C61"/>
    <w:rsid w:val="007B14B5"/>
    <w:rsid w:val="007B156E"/>
    <w:rsid w:val="007B1D32"/>
    <w:rsid w:val="007B241F"/>
    <w:rsid w:val="007B4262"/>
    <w:rsid w:val="007B4ACE"/>
    <w:rsid w:val="007B5880"/>
    <w:rsid w:val="007B5984"/>
    <w:rsid w:val="007B6858"/>
    <w:rsid w:val="007C0A0B"/>
    <w:rsid w:val="007C23FF"/>
    <w:rsid w:val="007C52F1"/>
    <w:rsid w:val="007C5CAC"/>
    <w:rsid w:val="007C5EA6"/>
    <w:rsid w:val="007C664E"/>
    <w:rsid w:val="007C66DC"/>
    <w:rsid w:val="007C76B0"/>
    <w:rsid w:val="007C78F0"/>
    <w:rsid w:val="007C7900"/>
    <w:rsid w:val="007D038E"/>
    <w:rsid w:val="007D0DA8"/>
    <w:rsid w:val="007D4842"/>
    <w:rsid w:val="007D5517"/>
    <w:rsid w:val="007D6F3C"/>
    <w:rsid w:val="007E0E7D"/>
    <w:rsid w:val="007E3096"/>
    <w:rsid w:val="007E4454"/>
    <w:rsid w:val="007E5157"/>
    <w:rsid w:val="007E54DE"/>
    <w:rsid w:val="007E5AE6"/>
    <w:rsid w:val="007E6AD9"/>
    <w:rsid w:val="007E70F6"/>
    <w:rsid w:val="007E7315"/>
    <w:rsid w:val="007E7E50"/>
    <w:rsid w:val="007F0EFB"/>
    <w:rsid w:val="007F15D0"/>
    <w:rsid w:val="007F178F"/>
    <w:rsid w:val="007F2026"/>
    <w:rsid w:val="007F28B5"/>
    <w:rsid w:val="007F407D"/>
    <w:rsid w:val="007F4368"/>
    <w:rsid w:val="007F4F2D"/>
    <w:rsid w:val="007F5097"/>
    <w:rsid w:val="007F6D44"/>
    <w:rsid w:val="007F70AF"/>
    <w:rsid w:val="007F7DA6"/>
    <w:rsid w:val="00805533"/>
    <w:rsid w:val="00805B2B"/>
    <w:rsid w:val="00805DAB"/>
    <w:rsid w:val="008078CD"/>
    <w:rsid w:val="00807E2C"/>
    <w:rsid w:val="0081098A"/>
    <w:rsid w:val="008115EF"/>
    <w:rsid w:val="00812183"/>
    <w:rsid w:val="00812B8F"/>
    <w:rsid w:val="00813C74"/>
    <w:rsid w:val="00813F81"/>
    <w:rsid w:val="008146F1"/>
    <w:rsid w:val="00814A0A"/>
    <w:rsid w:val="00815A54"/>
    <w:rsid w:val="00815B25"/>
    <w:rsid w:val="00816122"/>
    <w:rsid w:val="0081707F"/>
    <w:rsid w:val="00817C22"/>
    <w:rsid w:val="00817C53"/>
    <w:rsid w:val="0082031F"/>
    <w:rsid w:val="00821FB8"/>
    <w:rsid w:val="008222C3"/>
    <w:rsid w:val="008223F4"/>
    <w:rsid w:val="00822562"/>
    <w:rsid w:val="008229CD"/>
    <w:rsid w:val="00823AB8"/>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2E"/>
    <w:rsid w:val="008350FF"/>
    <w:rsid w:val="00840323"/>
    <w:rsid w:val="00840B9D"/>
    <w:rsid w:val="008418AF"/>
    <w:rsid w:val="0084190E"/>
    <w:rsid w:val="00842F70"/>
    <w:rsid w:val="00844C45"/>
    <w:rsid w:val="00850D53"/>
    <w:rsid w:val="0085164F"/>
    <w:rsid w:val="00852A11"/>
    <w:rsid w:val="00853058"/>
    <w:rsid w:val="0085434E"/>
    <w:rsid w:val="008545AE"/>
    <w:rsid w:val="008556C5"/>
    <w:rsid w:val="00856116"/>
    <w:rsid w:val="008573E2"/>
    <w:rsid w:val="00860CD9"/>
    <w:rsid w:val="00860F8C"/>
    <w:rsid w:val="00861CCF"/>
    <w:rsid w:val="0086297F"/>
    <w:rsid w:val="008655D5"/>
    <w:rsid w:val="00867D81"/>
    <w:rsid w:val="0087034A"/>
    <w:rsid w:val="008703F1"/>
    <w:rsid w:val="008717DE"/>
    <w:rsid w:val="00871900"/>
    <w:rsid w:val="00874ADE"/>
    <w:rsid w:val="00874E5C"/>
    <w:rsid w:val="00877C77"/>
    <w:rsid w:val="00880360"/>
    <w:rsid w:val="008808DF"/>
    <w:rsid w:val="0088111F"/>
    <w:rsid w:val="00881297"/>
    <w:rsid w:val="00881AE7"/>
    <w:rsid w:val="0088271E"/>
    <w:rsid w:val="00882BDE"/>
    <w:rsid w:val="00882F5E"/>
    <w:rsid w:val="00883E53"/>
    <w:rsid w:val="00884319"/>
    <w:rsid w:val="00884607"/>
    <w:rsid w:val="00884CC7"/>
    <w:rsid w:val="00884F5D"/>
    <w:rsid w:val="00885244"/>
    <w:rsid w:val="008855D8"/>
    <w:rsid w:val="00886CD1"/>
    <w:rsid w:val="00887C5F"/>
    <w:rsid w:val="008910B0"/>
    <w:rsid w:val="00892484"/>
    <w:rsid w:val="00893179"/>
    <w:rsid w:val="0089376A"/>
    <w:rsid w:val="00894450"/>
    <w:rsid w:val="00895239"/>
    <w:rsid w:val="0089557A"/>
    <w:rsid w:val="008961A8"/>
    <w:rsid w:val="008A04C3"/>
    <w:rsid w:val="008A1509"/>
    <w:rsid w:val="008A1C08"/>
    <w:rsid w:val="008A3655"/>
    <w:rsid w:val="008A3D73"/>
    <w:rsid w:val="008A4E2B"/>
    <w:rsid w:val="008A5172"/>
    <w:rsid w:val="008A6A20"/>
    <w:rsid w:val="008A6C5A"/>
    <w:rsid w:val="008B06AC"/>
    <w:rsid w:val="008B0B15"/>
    <w:rsid w:val="008B1BDF"/>
    <w:rsid w:val="008B3C97"/>
    <w:rsid w:val="008B4168"/>
    <w:rsid w:val="008B428D"/>
    <w:rsid w:val="008B4DE3"/>
    <w:rsid w:val="008B505C"/>
    <w:rsid w:val="008B5903"/>
    <w:rsid w:val="008C128F"/>
    <w:rsid w:val="008C26D6"/>
    <w:rsid w:val="008C2C9B"/>
    <w:rsid w:val="008C2F24"/>
    <w:rsid w:val="008C31B6"/>
    <w:rsid w:val="008C47B1"/>
    <w:rsid w:val="008C66C2"/>
    <w:rsid w:val="008C720A"/>
    <w:rsid w:val="008C7DD5"/>
    <w:rsid w:val="008D06D2"/>
    <w:rsid w:val="008D25E5"/>
    <w:rsid w:val="008D2E5F"/>
    <w:rsid w:val="008D2E83"/>
    <w:rsid w:val="008D344E"/>
    <w:rsid w:val="008D3E5B"/>
    <w:rsid w:val="008D4752"/>
    <w:rsid w:val="008D4EE7"/>
    <w:rsid w:val="008D5390"/>
    <w:rsid w:val="008D6408"/>
    <w:rsid w:val="008E0810"/>
    <w:rsid w:val="008E0CB8"/>
    <w:rsid w:val="008E1953"/>
    <w:rsid w:val="008E3297"/>
    <w:rsid w:val="008E5E12"/>
    <w:rsid w:val="008E63F4"/>
    <w:rsid w:val="008E6550"/>
    <w:rsid w:val="008E66CE"/>
    <w:rsid w:val="008E7651"/>
    <w:rsid w:val="008F100E"/>
    <w:rsid w:val="008F16A3"/>
    <w:rsid w:val="008F2BE1"/>
    <w:rsid w:val="008F361B"/>
    <w:rsid w:val="008F477C"/>
    <w:rsid w:val="008F587A"/>
    <w:rsid w:val="008F5CB4"/>
    <w:rsid w:val="008F5E62"/>
    <w:rsid w:val="008F78EF"/>
    <w:rsid w:val="008F7DCB"/>
    <w:rsid w:val="009005DC"/>
    <w:rsid w:val="00901450"/>
    <w:rsid w:val="00902566"/>
    <w:rsid w:val="00902D73"/>
    <w:rsid w:val="00902E85"/>
    <w:rsid w:val="009032DE"/>
    <w:rsid w:val="0090333C"/>
    <w:rsid w:val="0090366C"/>
    <w:rsid w:val="009049B3"/>
    <w:rsid w:val="00904A1A"/>
    <w:rsid w:val="00905529"/>
    <w:rsid w:val="00910A18"/>
    <w:rsid w:val="00911118"/>
    <w:rsid w:val="00912AFE"/>
    <w:rsid w:val="00912C3C"/>
    <w:rsid w:val="00913811"/>
    <w:rsid w:val="00913AD8"/>
    <w:rsid w:val="00914E8B"/>
    <w:rsid w:val="00917105"/>
    <w:rsid w:val="00917132"/>
    <w:rsid w:val="0091755E"/>
    <w:rsid w:val="0092168F"/>
    <w:rsid w:val="00921EE0"/>
    <w:rsid w:val="00924391"/>
    <w:rsid w:val="00925951"/>
    <w:rsid w:val="00926035"/>
    <w:rsid w:val="009263AA"/>
    <w:rsid w:val="0092729E"/>
    <w:rsid w:val="0093160D"/>
    <w:rsid w:val="009318EA"/>
    <w:rsid w:val="00931AE1"/>
    <w:rsid w:val="00931D04"/>
    <w:rsid w:val="00932FAC"/>
    <w:rsid w:val="0093660E"/>
    <w:rsid w:val="009377BC"/>
    <w:rsid w:val="009404B0"/>
    <w:rsid w:val="009414D4"/>
    <w:rsid w:val="009420DC"/>
    <w:rsid w:val="00942FD7"/>
    <w:rsid w:val="00943A35"/>
    <w:rsid w:val="00944523"/>
    <w:rsid w:val="00944858"/>
    <w:rsid w:val="00944DC6"/>
    <w:rsid w:val="00944E50"/>
    <w:rsid w:val="009451F0"/>
    <w:rsid w:val="00953E62"/>
    <w:rsid w:val="00953F40"/>
    <w:rsid w:val="00954459"/>
    <w:rsid w:val="00955098"/>
    <w:rsid w:val="009561FC"/>
    <w:rsid w:val="00957D57"/>
    <w:rsid w:val="00957D5F"/>
    <w:rsid w:val="009609D5"/>
    <w:rsid w:val="00961D68"/>
    <w:rsid w:val="0096220C"/>
    <w:rsid w:val="009641D5"/>
    <w:rsid w:val="00964379"/>
    <w:rsid w:val="009660BB"/>
    <w:rsid w:val="00966465"/>
    <w:rsid w:val="00966D69"/>
    <w:rsid w:val="00970737"/>
    <w:rsid w:val="00970CA6"/>
    <w:rsid w:val="00971453"/>
    <w:rsid w:val="00971C60"/>
    <w:rsid w:val="00972405"/>
    <w:rsid w:val="00974818"/>
    <w:rsid w:val="009775E2"/>
    <w:rsid w:val="00977BE6"/>
    <w:rsid w:val="00980AE6"/>
    <w:rsid w:val="00982B01"/>
    <w:rsid w:val="0098306E"/>
    <w:rsid w:val="009840D7"/>
    <w:rsid w:val="009855D1"/>
    <w:rsid w:val="00985A44"/>
    <w:rsid w:val="00985C34"/>
    <w:rsid w:val="00985D43"/>
    <w:rsid w:val="009861AD"/>
    <w:rsid w:val="00986575"/>
    <w:rsid w:val="00986B19"/>
    <w:rsid w:val="00990202"/>
    <w:rsid w:val="00990245"/>
    <w:rsid w:val="009908C9"/>
    <w:rsid w:val="009915AF"/>
    <w:rsid w:val="0099190C"/>
    <w:rsid w:val="00991DF4"/>
    <w:rsid w:val="009935A0"/>
    <w:rsid w:val="00996809"/>
    <w:rsid w:val="00996901"/>
    <w:rsid w:val="00997526"/>
    <w:rsid w:val="00997B1E"/>
    <w:rsid w:val="009A006E"/>
    <w:rsid w:val="009A1D30"/>
    <w:rsid w:val="009A247A"/>
    <w:rsid w:val="009A2497"/>
    <w:rsid w:val="009A5C0E"/>
    <w:rsid w:val="009A6742"/>
    <w:rsid w:val="009B1579"/>
    <w:rsid w:val="009B339A"/>
    <w:rsid w:val="009B41E5"/>
    <w:rsid w:val="009B4274"/>
    <w:rsid w:val="009B514C"/>
    <w:rsid w:val="009B5426"/>
    <w:rsid w:val="009B57DA"/>
    <w:rsid w:val="009C0B2E"/>
    <w:rsid w:val="009C131C"/>
    <w:rsid w:val="009C1AD2"/>
    <w:rsid w:val="009C1D4F"/>
    <w:rsid w:val="009C28BD"/>
    <w:rsid w:val="009C39A3"/>
    <w:rsid w:val="009C3B6A"/>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6B28"/>
    <w:rsid w:val="009D7AF3"/>
    <w:rsid w:val="009E14CB"/>
    <w:rsid w:val="009E1AE8"/>
    <w:rsid w:val="009E238E"/>
    <w:rsid w:val="009E25D7"/>
    <w:rsid w:val="009E33C2"/>
    <w:rsid w:val="009E359E"/>
    <w:rsid w:val="009E3C0C"/>
    <w:rsid w:val="009E4182"/>
    <w:rsid w:val="009E51EB"/>
    <w:rsid w:val="009E576F"/>
    <w:rsid w:val="009E6848"/>
    <w:rsid w:val="009E718A"/>
    <w:rsid w:val="009E7323"/>
    <w:rsid w:val="009F02CE"/>
    <w:rsid w:val="009F0B1D"/>
    <w:rsid w:val="009F173F"/>
    <w:rsid w:val="009F195D"/>
    <w:rsid w:val="009F2BD0"/>
    <w:rsid w:val="009F43CA"/>
    <w:rsid w:val="009F57AA"/>
    <w:rsid w:val="009F5FD9"/>
    <w:rsid w:val="009F66E1"/>
    <w:rsid w:val="009F6800"/>
    <w:rsid w:val="009F7C8B"/>
    <w:rsid w:val="00A00721"/>
    <w:rsid w:val="00A00AC9"/>
    <w:rsid w:val="00A00DDB"/>
    <w:rsid w:val="00A01036"/>
    <w:rsid w:val="00A02178"/>
    <w:rsid w:val="00A02179"/>
    <w:rsid w:val="00A033E2"/>
    <w:rsid w:val="00A03477"/>
    <w:rsid w:val="00A06D68"/>
    <w:rsid w:val="00A105A6"/>
    <w:rsid w:val="00A112B0"/>
    <w:rsid w:val="00A130A6"/>
    <w:rsid w:val="00A141E4"/>
    <w:rsid w:val="00A15542"/>
    <w:rsid w:val="00A164D2"/>
    <w:rsid w:val="00A16E14"/>
    <w:rsid w:val="00A20238"/>
    <w:rsid w:val="00A2028F"/>
    <w:rsid w:val="00A21B26"/>
    <w:rsid w:val="00A21C7D"/>
    <w:rsid w:val="00A23388"/>
    <w:rsid w:val="00A23F09"/>
    <w:rsid w:val="00A23F24"/>
    <w:rsid w:val="00A23FD0"/>
    <w:rsid w:val="00A24621"/>
    <w:rsid w:val="00A24BEE"/>
    <w:rsid w:val="00A256D4"/>
    <w:rsid w:val="00A25C1F"/>
    <w:rsid w:val="00A26E92"/>
    <w:rsid w:val="00A273AE"/>
    <w:rsid w:val="00A276F7"/>
    <w:rsid w:val="00A31DB2"/>
    <w:rsid w:val="00A328EF"/>
    <w:rsid w:val="00A35F0B"/>
    <w:rsid w:val="00A35FE8"/>
    <w:rsid w:val="00A37677"/>
    <w:rsid w:val="00A37F0C"/>
    <w:rsid w:val="00A41848"/>
    <w:rsid w:val="00A4298E"/>
    <w:rsid w:val="00A42AA4"/>
    <w:rsid w:val="00A43404"/>
    <w:rsid w:val="00A43D29"/>
    <w:rsid w:val="00A4540C"/>
    <w:rsid w:val="00A4567E"/>
    <w:rsid w:val="00A4600D"/>
    <w:rsid w:val="00A46E28"/>
    <w:rsid w:val="00A47103"/>
    <w:rsid w:val="00A47A29"/>
    <w:rsid w:val="00A50CD2"/>
    <w:rsid w:val="00A53564"/>
    <w:rsid w:val="00A542D4"/>
    <w:rsid w:val="00A55131"/>
    <w:rsid w:val="00A570DC"/>
    <w:rsid w:val="00A60FD9"/>
    <w:rsid w:val="00A61A6C"/>
    <w:rsid w:val="00A622CB"/>
    <w:rsid w:val="00A62486"/>
    <w:rsid w:val="00A64C1B"/>
    <w:rsid w:val="00A655D6"/>
    <w:rsid w:val="00A6587C"/>
    <w:rsid w:val="00A65B61"/>
    <w:rsid w:val="00A66030"/>
    <w:rsid w:val="00A662E8"/>
    <w:rsid w:val="00A66FFA"/>
    <w:rsid w:val="00A67CB6"/>
    <w:rsid w:val="00A704FF"/>
    <w:rsid w:val="00A7091C"/>
    <w:rsid w:val="00A70BFD"/>
    <w:rsid w:val="00A7112E"/>
    <w:rsid w:val="00A71E35"/>
    <w:rsid w:val="00A73515"/>
    <w:rsid w:val="00A73688"/>
    <w:rsid w:val="00A73D23"/>
    <w:rsid w:val="00A74F98"/>
    <w:rsid w:val="00A76832"/>
    <w:rsid w:val="00A76ACF"/>
    <w:rsid w:val="00A76E5F"/>
    <w:rsid w:val="00A77AF4"/>
    <w:rsid w:val="00A801B0"/>
    <w:rsid w:val="00A803B6"/>
    <w:rsid w:val="00A80C5C"/>
    <w:rsid w:val="00A813FF"/>
    <w:rsid w:val="00A81ECF"/>
    <w:rsid w:val="00A85AB3"/>
    <w:rsid w:val="00A85C42"/>
    <w:rsid w:val="00A864E9"/>
    <w:rsid w:val="00A87E80"/>
    <w:rsid w:val="00A902D8"/>
    <w:rsid w:val="00A90A70"/>
    <w:rsid w:val="00A91649"/>
    <w:rsid w:val="00A92923"/>
    <w:rsid w:val="00A9369E"/>
    <w:rsid w:val="00A9393E"/>
    <w:rsid w:val="00A94EAA"/>
    <w:rsid w:val="00A9559B"/>
    <w:rsid w:val="00A95FA5"/>
    <w:rsid w:val="00A96A78"/>
    <w:rsid w:val="00A96A93"/>
    <w:rsid w:val="00A97170"/>
    <w:rsid w:val="00A97593"/>
    <w:rsid w:val="00AA1E9A"/>
    <w:rsid w:val="00AA233E"/>
    <w:rsid w:val="00AA413F"/>
    <w:rsid w:val="00AA4F2F"/>
    <w:rsid w:val="00AA5750"/>
    <w:rsid w:val="00AA72FD"/>
    <w:rsid w:val="00AA75C7"/>
    <w:rsid w:val="00AA767D"/>
    <w:rsid w:val="00AB1741"/>
    <w:rsid w:val="00AB17F9"/>
    <w:rsid w:val="00AB23E6"/>
    <w:rsid w:val="00AB3A71"/>
    <w:rsid w:val="00AB6C2E"/>
    <w:rsid w:val="00AC02E6"/>
    <w:rsid w:val="00AC1F3D"/>
    <w:rsid w:val="00AC2621"/>
    <w:rsid w:val="00AC272D"/>
    <w:rsid w:val="00AC3490"/>
    <w:rsid w:val="00AC3B6F"/>
    <w:rsid w:val="00AC3F2A"/>
    <w:rsid w:val="00AC4171"/>
    <w:rsid w:val="00AC41A6"/>
    <w:rsid w:val="00AC456A"/>
    <w:rsid w:val="00AC4F22"/>
    <w:rsid w:val="00AC6821"/>
    <w:rsid w:val="00AC69D4"/>
    <w:rsid w:val="00AD1530"/>
    <w:rsid w:val="00AD15E3"/>
    <w:rsid w:val="00AD22E3"/>
    <w:rsid w:val="00AD2E2D"/>
    <w:rsid w:val="00AD3026"/>
    <w:rsid w:val="00AD327A"/>
    <w:rsid w:val="00AD440E"/>
    <w:rsid w:val="00AD7307"/>
    <w:rsid w:val="00AD7F49"/>
    <w:rsid w:val="00AD7F71"/>
    <w:rsid w:val="00AE105C"/>
    <w:rsid w:val="00AE1695"/>
    <w:rsid w:val="00AE1B5A"/>
    <w:rsid w:val="00AE3B2C"/>
    <w:rsid w:val="00AE4E41"/>
    <w:rsid w:val="00AE7BFF"/>
    <w:rsid w:val="00AF0615"/>
    <w:rsid w:val="00AF1BF3"/>
    <w:rsid w:val="00AF24F5"/>
    <w:rsid w:val="00AF2ACB"/>
    <w:rsid w:val="00AF3246"/>
    <w:rsid w:val="00AF34C3"/>
    <w:rsid w:val="00AF401C"/>
    <w:rsid w:val="00AF49FA"/>
    <w:rsid w:val="00AF6714"/>
    <w:rsid w:val="00AF79C9"/>
    <w:rsid w:val="00B0007F"/>
    <w:rsid w:val="00B002AC"/>
    <w:rsid w:val="00B0289E"/>
    <w:rsid w:val="00B030B1"/>
    <w:rsid w:val="00B036E1"/>
    <w:rsid w:val="00B04B14"/>
    <w:rsid w:val="00B05E42"/>
    <w:rsid w:val="00B069E8"/>
    <w:rsid w:val="00B06D9F"/>
    <w:rsid w:val="00B07E59"/>
    <w:rsid w:val="00B123F6"/>
    <w:rsid w:val="00B1287F"/>
    <w:rsid w:val="00B13F4B"/>
    <w:rsid w:val="00B16F5B"/>
    <w:rsid w:val="00B17B60"/>
    <w:rsid w:val="00B17FCC"/>
    <w:rsid w:val="00B204B4"/>
    <w:rsid w:val="00B20541"/>
    <w:rsid w:val="00B206C7"/>
    <w:rsid w:val="00B2175E"/>
    <w:rsid w:val="00B21B07"/>
    <w:rsid w:val="00B21B84"/>
    <w:rsid w:val="00B21D1C"/>
    <w:rsid w:val="00B221F1"/>
    <w:rsid w:val="00B22C99"/>
    <w:rsid w:val="00B23948"/>
    <w:rsid w:val="00B24017"/>
    <w:rsid w:val="00B27438"/>
    <w:rsid w:val="00B2756A"/>
    <w:rsid w:val="00B277FD"/>
    <w:rsid w:val="00B320BD"/>
    <w:rsid w:val="00B32F3A"/>
    <w:rsid w:val="00B33703"/>
    <w:rsid w:val="00B33B63"/>
    <w:rsid w:val="00B33BA8"/>
    <w:rsid w:val="00B33BF5"/>
    <w:rsid w:val="00B33CD5"/>
    <w:rsid w:val="00B34546"/>
    <w:rsid w:val="00B35134"/>
    <w:rsid w:val="00B35311"/>
    <w:rsid w:val="00B35321"/>
    <w:rsid w:val="00B37E50"/>
    <w:rsid w:val="00B407B6"/>
    <w:rsid w:val="00B4158C"/>
    <w:rsid w:val="00B4363D"/>
    <w:rsid w:val="00B43DBB"/>
    <w:rsid w:val="00B45031"/>
    <w:rsid w:val="00B45F2A"/>
    <w:rsid w:val="00B463DA"/>
    <w:rsid w:val="00B4751F"/>
    <w:rsid w:val="00B4771A"/>
    <w:rsid w:val="00B50284"/>
    <w:rsid w:val="00B50F46"/>
    <w:rsid w:val="00B515C2"/>
    <w:rsid w:val="00B51BD7"/>
    <w:rsid w:val="00B52309"/>
    <w:rsid w:val="00B53519"/>
    <w:rsid w:val="00B53C43"/>
    <w:rsid w:val="00B55788"/>
    <w:rsid w:val="00B55829"/>
    <w:rsid w:val="00B561C0"/>
    <w:rsid w:val="00B61611"/>
    <w:rsid w:val="00B6271F"/>
    <w:rsid w:val="00B65DC9"/>
    <w:rsid w:val="00B667D0"/>
    <w:rsid w:val="00B671A1"/>
    <w:rsid w:val="00B673F9"/>
    <w:rsid w:val="00B67E41"/>
    <w:rsid w:val="00B70483"/>
    <w:rsid w:val="00B70826"/>
    <w:rsid w:val="00B718C3"/>
    <w:rsid w:val="00B7221D"/>
    <w:rsid w:val="00B723F3"/>
    <w:rsid w:val="00B728B1"/>
    <w:rsid w:val="00B728E2"/>
    <w:rsid w:val="00B7379A"/>
    <w:rsid w:val="00B74976"/>
    <w:rsid w:val="00B768A6"/>
    <w:rsid w:val="00B776C4"/>
    <w:rsid w:val="00B77A73"/>
    <w:rsid w:val="00B80DE1"/>
    <w:rsid w:val="00B81063"/>
    <w:rsid w:val="00B833F9"/>
    <w:rsid w:val="00B85B5E"/>
    <w:rsid w:val="00B8697F"/>
    <w:rsid w:val="00B87CBF"/>
    <w:rsid w:val="00B90D25"/>
    <w:rsid w:val="00B90F99"/>
    <w:rsid w:val="00B9119C"/>
    <w:rsid w:val="00B91628"/>
    <w:rsid w:val="00B919EB"/>
    <w:rsid w:val="00B93FD0"/>
    <w:rsid w:val="00B94C45"/>
    <w:rsid w:val="00B94D75"/>
    <w:rsid w:val="00B97504"/>
    <w:rsid w:val="00BA00F4"/>
    <w:rsid w:val="00BA0585"/>
    <w:rsid w:val="00BA0ADA"/>
    <w:rsid w:val="00BA0DE5"/>
    <w:rsid w:val="00BA103E"/>
    <w:rsid w:val="00BA38C1"/>
    <w:rsid w:val="00BA41D5"/>
    <w:rsid w:val="00BA4F44"/>
    <w:rsid w:val="00BA5DCC"/>
    <w:rsid w:val="00BA72C9"/>
    <w:rsid w:val="00BA7495"/>
    <w:rsid w:val="00BB18DE"/>
    <w:rsid w:val="00BB1F8A"/>
    <w:rsid w:val="00BB1F93"/>
    <w:rsid w:val="00BB31E8"/>
    <w:rsid w:val="00BB46FA"/>
    <w:rsid w:val="00BB6296"/>
    <w:rsid w:val="00BB7DEE"/>
    <w:rsid w:val="00BC0C1F"/>
    <w:rsid w:val="00BC277B"/>
    <w:rsid w:val="00BC28C3"/>
    <w:rsid w:val="00BC3151"/>
    <w:rsid w:val="00BC35E4"/>
    <w:rsid w:val="00BC3BD6"/>
    <w:rsid w:val="00BC526C"/>
    <w:rsid w:val="00BC5478"/>
    <w:rsid w:val="00BC56D1"/>
    <w:rsid w:val="00BC5AD9"/>
    <w:rsid w:val="00BC5C54"/>
    <w:rsid w:val="00BC7885"/>
    <w:rsid w:val="00BD0B83"/>
    <w:rsid w:val="00BD100F"/>
    <w:rsid w:val="00BD1161"/>
    <w:rsid w:val="00BD20B6"/>
    <w:rsid w:val="00BD212E"/>
    <w:rsid w:val="00BD2A47"/>
    <w:rsid w:val="00BD3AD4"/>
    <w:rsid w:val="00BD4112"/>
    <w:rsid w:val="00BD4A56"/>
    <w:rsid w:val="00BD7754"/>
    <w:rsid w:val="00BE0AA6"/>
    <w:rsid w:val="00BE0E5B"/>
    <w:rsid w:val="00BE1361"/>
    <w:rsid w:val="00BE20EA"/>
    <w:rsid w:val="00BE220A"/>
    <w:rsid w:val="00BE2351"/>
    <w:rsid w:val="00BE3606"/>
    <w:rsid w:val="00BE4C83"/>
    <w:rsid w:val="00BE5117"/>
    <w:rsid w:val="00BE6083"/>
    <w:rsid w:val="00BE6258"/>
    <w:rsid w:val="00BE6619"/>
    <w:rsid w:val="00BE7991"/>
    <w:rsid w:val="00BE7B40"/>
    <w:rsid w:val="00BF06D5"/>
    <w:rsid w:val="00BF0DE9"/>
    <w:rsid w:val="00BF1543"/>
    <w:rsid w:val="00BF28C0"/>
    <w:rsid w:val="00BF3C8A"/>
    <w:rsid w:val="00BF3CAC"/>
    <w:rsid w:val="00BF41A4"/>
    <w:rsid w:val="00BF480E"/>
    <w:rsid w:val="00BF554B"/>
    <w:rsid w:val="00BF65DE"/>
    <w:rsid w:val="00BF6D67"/>
    <w:rsid w:val="00BF7B04"/>
    <w:rsid w:val="00BF7D7F"/>
    <w:rsid w:val="00C04BC7"/>
    <w:rsid w:val="00C05738"/>
    <w:rsid w:val="00C05A38"/>
    <w:rsid w:val="00C05A4F"/>
    <w:rsid w:val="00C06B57"/>
    <w:rsid w:val="00C06D65"/>
    <w:rsid w:val="00C06ED5"/>
    <w:rsid w:val="00C07BBE"/>
    <w:rsid w:val="00C1068B"/>
    <w:rsid w:val="00C11EF5"/>
    <w:rsid w:val="00C12279"/>
    <w:rsid w:val="00C124A4"/>
    <w:rsid w:val="00C12FB5"/>
    <w:rsid w:val="00C132DD"/>
    <w:rsid w:val="00C168A9"/>
    <w:rsid w:val="00C16F1A"/>
    <w:rsid w:val="00C16F23"/>
    <w:rsid w:val="00C17FB3"/>
    <w:rsid w:val="00C222FE"/>
    <w:rsid w:val="00C2369A"/>
    <w:rsid w:val="00C24690"/>
    <w:rsid w:val="00C25A2D"/>
    <w:rsid w:val="00C26BD6"/>
    <w:rsid w:val="00C27492"/>
    <w:rsid w:val="00C308BD"/>
    <w:rsid w:val="00C32761"/>
    <w:rsid w:val="00C33024"/>
    <w:rsid w:val="00C33EC9"/>
    <w:rsid w:val="00C342C1"/>
    <w:rsid w:val="00C34DB8"/>
    <w:rsid w:val="00C34DD5"/>
    <w:rsid w:val="00C3574F"/>
    <w:rsid w:val="00C358BC"/>
    <w:rsid w:val="00C3633E"/>
    <w:rsid w:val="00C410F1"/>
    <w:rsid w:val="00C42A10"/>
    <w:rsid w:val="00C42EE6"/>
    <w:rsid w:val="00C431C2"/>
    <w:rsid w:val="00C44116"/>
    <w:rsid w:val="00C448A3"/>
    <w:rsid w:val="00C4555A"/>
    <w:rsid w:val="00C45E04"/>
    <w:rsid w:val="00C45EBD"/>
    <w:rsid w:val="00C47B8A"/>
    <w:rsid w:val="00C510C0"/>
    <w:rsid w:val="00C513B8"/>
    <w:rsid w:val="00C51423"/>
    <w:rsid w:val="00C52C1E"/>
    <w:rsid w:val="00C53082"/>
    <w:rsid w:val="00C530CD"/>
    <w:rsid w:val="00C538EB"/>
    <w:rsid w:val="00C546A1"/>
    <w:rsid w:val="00C54779"/>
    <w:rsid w:val="00C6263A"/>
    <w:rsid w:val="00C65284"/>
    <w:rsid w:val="00C662E3"/>
    <w:rsid w:val="00C66696"/>
    <w:rsid w:val="00C66C72"/>
    <w:rsid w:val="00C6740B"/>
    <w:rsid w:val="00C7115E"/>
    <w:rsid w:val="00C72211"/>
    <w:rsid w:val="00C723F7"/>
    <w:rsid w:val="00C74FFB"/>
    <w:rsid w:val="00C7503B"/>
    <w:rsid w:val="00C755DE"/>
    <w:rsid w:val="00C77008"/>
    <w:rsid w:val="00C779A2"/>
    <w:rsid w:val="00C83B7B"/>
    <w:rsid w:val="00C84165"/>
    <w:rsid w:val="00C90180"/>
    <w:rsid w:val="00C919EB"/>
    <w:rsid w:val="00C93190"/>
    <w:rsid w:val="00C93CEF"/>
    <w:rsid w:val="00C93D4D"/>
    <w:rsid w:val="00C96A37"/>
    <w:rsid w:val="00C97993"/>
    <w:rsid w:val="00CA0CB9"/>
    <w:rsid w:val="00CA1413"/>
    <w:rsid w:val="00CA1C56"/>
    <w:rsid w:val="00CA1EE3"/>
    <w:rsid w:val="00CA20A2"/>
    <w:rsid w:val="00CA3694"/>
    <w:rsid w:val="00CA3B26"/>
    <w:rsid w:val="00CA3FD9"/>
    <w:rsid w:val="00CA4B87"/>
    <w:rsid w:val="00CA4D88"/>
    <w:rsid w:val="00CA63DC"/>
    <w:rsid w:val="00CA6D2E"/>
    <w:rsid w:val="00CA7874"/>
    <w:rsid w:val="00CA7917"/>
    <w:rsid w:val="00CA7B4B"/>
    <w:rsid w:val="00CB0B23"/>
    <w:rsid w:val="00CB1139"/>
    <w:rsid w:val="00CB1783"/>
    <w:rsid w:val="00CB2143"/>
    <w:rsid w:val="00CB2775"/>
    <w:rsid w:val="00CB3C88"/>
    <w:rsid w:val="00CB440C"/>
    <w:rsid w:val="00CB5659"/>
    <w:rsid w:val="00CB599A"/>
    <w:rsid w:val="00CB5CE0"/>
    <w:rsid w:val="00CB5E47"/>
    <w:rsid w:val="00CB70F7"/>
    <w:rsid w:val="00CB7F42"/>
    <w:rsid w:val="00CC0A23"/>
    <w:rsid w:val="00CC18FE"/>
    <w:rsid w:val="00CC381D"/>
    <w:rsid w:val="00CC3B61"/>
    <w:rsid w:val="00CC42A4"/>
    <w:rsid w:val="00CC5D62"/>
    <w:rsid w:val="00CC5E46"/>
    <w:rsid w:val="00CC7AE8"/>
    <w:rsid w:val="00CD002A"/>
    <w:rsid w:val="00CD0E8C"/>
    <w:rsid w:val="00CD1961"/>
    <w:rsid w:val="00CD5EC6"/>
    <w:rsid w:val="00CD7A85"/>
    <w:rsid w:val="00CD7AE9"/>
    <w:rsid w:val="00CE03CD"/>
    <w:rsid w:val="00CE05AE"/>
    <w:rsid w:val="00CE05CA"/>
    <w:rsid w:val="00CE0908"/>
    <w:rsid w:val="00CE0D71"/>
    <w:rsid w:val="00CE2F0A"/>
    <w:rsid w:val="00CE37BF"/>
    <w:rsid w:val="00CE383C"/>
    <w:rsid w:val="00CE4B0F"/>
    <w:rsid w:val="00CE4F45"/>
    <w:rsid w:val="00CE4FAD"/>
    <w:rsid w:val="00CE5451"/>
    <w:rsid w:val="00CE7AA2"/>
    <w:rsid w:val="00CF10A2"/>
    <w:rsid w:val="00CF27E9"/>
    <w:rsid w:val="00CF3B8E"/>
    <w:rsid w:val="00CF458E"/>
    <w:rsid w:val="00CF46AB"/>
    <w:rsid w:val="00CF4894"/>
    <w:rsid w:val="00CF5215"/>
    <w:rsid w:val="00CF5717"/>
    <w:rsid w:val="00CF6BCC"/>
    <w:rsid w:val="00CF6E6D"/>
    <w:rsid w:val="00CF75CB"/>
    <w:rsid w:val="00CF7CEA"/>
    <w:rsid w:val="00D001B1"/>
    <w:rsid w:val="00D00C71"/>
    <w:rsid w:val="00D01D0F"/>
    <w:rsid w:val="00D01F0D"/>
    <w:rsid w:val="00D0409F"/>
    <w:rsid w:val="00D048CE"/>
    <w:rsid w:val="00D05DA6"/>
    <w:rsid w:val="00D06871"/>
    <w:rsid w:val="00D06B1E"/>
    <w:rsid w:val="00D0747A"/>
    <w:rsid w:val="00D07B50"/>
    <w:rsid w:val="00D10621"/>
    <w:rsid w:val="00D11A8E"/>
    <w:rsid w:val="00D12696"/>
    <w:rsid w:val="00D12912"/>
    <w:rsid w:val="00D12BB3"/>
    <w:rsid w:val="00D1341A"/>
    <w:rsid w:val="00D13F5E"/>
    <w:rsid w:val="00D14322"/>
    <w:rsid w:val="00D145EE"/>
    <w:rsid w:val="00D16637"/>
    <w:rsid w:val="00D16B10"/>
    <w:rsid w:val="00D17C44"/>
    <w:rsid w:val="00D2050C"/>
    <w:rsid w:val="00D215FC"/>
    <w:rsid w:val="00D2174E"/>
    <w:rsid w:val="00D2258B"/>
    <w:rsid w:val="00D226E9"/>
    <w:rsid w:val="00D22765"/>
    <w:rsid w:val="00D22C19"/>
    <w:rsid w:val="00D23181"/>
    <w:rsid w:val="00D25208"/>
    <w:rsid w:val="00D26889"/>
    <w:rsid w:val="00D26D59"/>
    <w:rsid w:val="00D27303"/>
    <w:rsid w:val="00D275CA"/>
    <w:rsid w:val="00D31792"/>
    <w:rsid w:val="00D318C0"/>
    <w:rsid w:val="00D327A2"/>
    <w:rsid w:val="00D32EAE"/>
    <w:rsid w:val="00D3326B"/>
    <w:rsid w:val="00D33B63"/>
    <w:rsid w:val="00D3566F"/>
    <w:rsid w:val="00D35CDE"/>
    <w:rsid w:val="00D35DEF"/>
    <w:rsid w:val="00D36C8F"/>
    <w:rsid w:val="00D36FA7"/>
    <w:rsid w:val="00D422C6"/>
    <w:rsid w:val="00D42701"/>
    <w:rsid w:val="00D42A42"/>
    <w:rsid w:val="00D42DA2"/>
    <w:rsid w:val="00D42EF5"/>
    <w:rsid w:val="00D44A0E"/>
    <w:rsid w:val="00D44C56"/>
    <w:rsid w:val="00D456D7"/>
    <w:rsid w:val="00D4699A"/>
    <w:rsid w:val="00D47603"/>
    <w:rsid w:val="00D47BCF"/>
    <w:rsid w:val="00D50633"/>
    <w:rsid w:val="00D510F7"/>
    <w:rsid w:val="00D515FB"/>
    <w:rsid w:val="00D51C49"/>
    <w:rsid w:val="00D51E8A"/>
    <w:rsid w:val="00D5340A"/>
    <w:rsid w:val="00D540D9"/>
    <w:rsid w:val="00D545D7"/>
    <w:rsid w:val="00D55E49"/>
    <w:rsid w:val="00D55FB5"/>
    <w:rsid w:val="00D5642D"/>
    <w:rsid w:val="00D56D3B"/>
    <w:rsid w:val="00D61A95"/>
    <w:rsid w:val="00D61DD5"/>
    <w:rsid w:val="00D620B6"/>
    <w:rsid w:val="00D65C08"/>
    <w:rsid w:val="00D664BD"/>
    <w:rsid w:val="00D667A0"/>
    <w:rsid w:val="00D6701A"/>
    <w:rsid w:val="00D673FE"/>
    <w:rsid w:val="00D70912"/>
    <w:rsid w:val="00D764C5"/>
    <w:rsid w:val="00D768CD"/>
    <w:rsid w:val="00D802C2"/>
    <w:rsid w:val="00D80600"/>
    <w:rsid w:val="00D80F5B"/>
    <w:rsid w:val="00D82074"/>
    <w:rsid w:val="00D82111"/>
    <w:rsid w:val="00D82FBD"/>
    <w:rsid w:val="00D85F00"/>
    <w:rsid w:val="00D9028A"/>
    <w:rsid w:val="00D90B63"/>
    <w:rsid w:val="00D911CF"/>
    <w:rsid w:val="00D93626"/>
    <w:rsid w:val="00D9385E"/>
    <w:rsid w:val="00D950A4"/>
    <w:rsid w:val="00DA1F3A"/>
    <w:rsid w:val="00DA2911"/>
    <w:rsid w:val="00DA36D4"/>
    <w:rsid w:val="00DA3ED0"/>
    <w:rsid w:val="00DA4548"/>
    <w:rsid w:val="00DA46E3"/>
    <w:rsid w:val="00DA4852"/>
    <w:rsid w:val="00DA615D"/>
    <w:rsid w:val="00DA65BB"/>
    <w:rsid w:val="00DA68DC"/>
    <w:rsid w:val="00DA7628"/>
    <w:rsid w:val="00DA76FF"/>
    <w:rsid w:val="00DB2B77"/>
    <w:rsid w:val="00DB2FE4"/>
    <w:rsid w:val="00DB3851"/>
    <w:rsid w:val="00DB4302"/>
    <w:rsid w:val="00DB4F94"/>
    <w:rsid w:val="00DB5987"/>
    <w:rsid w:val="00DB64DA"/>
    <w:rsid w:val="00DC0AA7"/>
    <w:rsid w:val="00DC0FA3"/>
    <w:rsid w:val="00DC2AB3"/>
    <w:rsid w:val="00DC3118"/>
    <w:rsid w:val="00DC31A4"/>
    <w:rsid w:val="00DC3B74"/>
    <w:rsid w:val="00DC4493"/>
    <w:rsid w:val="00DC62F6"/>
    <w:rsid w:val="00DC6948"/>
    <w:rsid w:val="00DC7199"/>
    <w:rsid w:val="00DC7B8B"/>
    <w:rsid w:val="00DD19C7"/>
    <w:rsid w:val="00DD1D2D"/>
    <w:rsid w:val="00DD2183"/>
    <w:rsid w:val="00DD24CA"/>
    <w:rsid w:val="00DD4379"/>
    <w:rsid w:val="00DD5D0D"/>
    <w:rsid w:val="00DD60E2"/>
    <w:rsid w:val="00DD6D1A"/>
    <w:rsid w:val="00DD73EC"/>
    <w:rsid w:val="00DD78A8"/>
    <w:rsid w:val="00DE06E1"/>
    <w:rsid w:val="00DE0F14"/>
    <w:rsid w:val="00DE1D46"/>
    <w:rsid w:val="00DE2B2F"/>
    <w:rsid w:val="00DE3881"/>
    <w:rsid w:val="00DE3BB2"/>
    <w:rsid w:val="00DE3E29"/>
    <w:rsid w:val="00DE3FC4"/>
    <w:rsid w:val="00DE49C0"/>
    <w:rsid w:val="00DE7084"/>
    <w:rsid w:val="00DE7E14"/>
    <w:rsid w:val="00DE7F37"/>
    <w:rsid w:val="00DF0186"/>
    <w:rsid w:val="00DF0873"/>
    <w:rsid w:val="00DF09FC"/>
    <w:rsid w:val="00DF2523"/>
    <w:rsid w:val="00DF2BBA"/>
    <w:rsid w:val="00DF455A"/>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1009"/>
    <w:rsid w:val="00E127CF"/>
    <w:rsid w:val="00E130E7"/>
    <w:rsid w:val="00E134DD"/>
    <w:rsid w:val="00E14871"/>
    <w:rsid w:val="00E14CD8"/>
    <w:rsid w:val="00E155E6"/>
    <w:rsid w:val="00E16E9A"/>
    <w:rsid w:val="00E20B28"/>
    <w:rsid w:val="00E20F7D"/>
    <w:rsid w:val="00E214BD"/>
    <w:rsid w:val="00E2173E"/>
    <w:rsid w:val="00E21EBF"/>
    <w:rsid w:val="00E240EF"/>
    <w:rsid w:val="00E25139"/>
    <w:rsid w:val="00E30D7E"/>
    <w:rsid w:val="00E33646"/>
    <w:rsid w:val="00E33D1B"/>
    <w:rsid w:val="00E33F26"/>
    <w:rsid w:val="00E348C3"/>
    <w:rsid w:val="00E34A32"/>
    <w:rsid w:val="00E3553F"/>
    <w:rsid w:val="00E35697"/>
    <w:rsid w:val="00E35778"/>
    <w:rsid w:val="00E359CF"/>
    <w:rsid w:val="00E35B57"/>
    <w:rsid w:val="00E36273"/>
    <w:rsid w:val="00E362C4"/>
    <w:rsid w:val="00E3643D"/>
    <w:rsid w:val="00E40A35"/>
    <w:rsid w:val="00E42332"/>
    <w:rsid w:val="00E42D5A"/>
    <w:rsid w:val="00E433FA"/>
    <w:rsid w:val="00E43930"/>
    <w:rsid w:val="00E43C8C"/>
    <w:rsid w:val="00E44B69"/>
    <w:rsid w:val="00E4509D"/>
    <w:rsid w:val="00E4618A"/>
    <w:rsid w:val="00E479DC"/>
    <w:rsid w:val="00E52096"/>
    <w:rsid w:val="00E5243C"/>
    <w:rsid w:val="00E52FAA"/>
    <w:rsid w:val="00E53479"/>
    <w:rsid w:val="00E53904"/>
    <w:rsid w:val="00E5621D"/>
    <w:rsid w:val="00E579AC"/>
    <w:rsid w:val="00E57B2B"/>
    <w:rsid w:val="00E57BFC"/>
    <w:rsid w:val="00E60C54"/>
    <w:rsid w:val="00E6173C"/>
    <w:rsid w:val="00E6185C"/>
    <w:rsid w:val="00E62854"/>
    <w:rsid w:val="00E632D9"/>
    <w:rsid w:val="00E6622F"/>
    <w:rsid w:val="00E7011D"/>
    <w:rsid w:val="00E72A0D"/>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1831"/>
    <w:rsid w:val="00E95126"/>
    <w:rsid w:val="00E95E04"/>
    <w:rsid w:val="00E97C64"/>
    <w:rsid w:val="00E97D34"/>
    <w:rsid w:val="00EA0631"/>
    <w:rsid w:val="00EA124B"/>
    <w:rsid w:val="00EA2F62"/>
    <w:rsid w:val="00EA555D"/>
    <w:rsid w:val="00EA5AD6"/>
    <w:rsid w:val="00EA7353"/>
    <w:rsid w:val="00EB0743"/>
    <w:rsid w:val="00EB10CF"/>
    <w:rsid w:val="00EB1742"/>
    <w:rsid w:val="00EB2672"/>
    <w:rsid w:val="00EB29E1"/>
    <w:rsid w:val="00EB3046"/>
    <w:rsid w:val="00EB3584"/>
    <w:rsid w:val="00EB3C65"/>
    <w:rsid w:val="00EB4670"/>
    <w:rsid w:val="00EB518F"/>
    <w:rsid w:val="00EB65A3"/>
    <w:rsid w:val="00EB7A0D"/>
    <w:rsid w:val="00EC04F1"/>
    <w:rsid w:val="00EC06B0"/>
    <w:rsid w:val="00EC10A3"/>
    <w:rsid w:val="00EC1126"/>
    <w:rsid w:val="00EC1525"/>
    <w:rsid w:val="00EC1CD1"/>
    <w:rsid w:val="00EC2335"/>
    <w:rsid w:val="00EC2589"/>
    <w:rsid w:val="00EC2BDF"/>
    <w:rsid w:val="00EC3382"/>
    <w:rsid w:val="00EC3F71"/>
    <w:rsid w:val="00EC628F"/>
    <w:rsid w:val="00EC754E"/>
    <w:rsid w:val="00ED06C9"/>
    <w:rsid w:val="00ED2507"/>
    <w:rsid w:val="00ED5265"/>
    <w:rsid w:val="00ED5443"/>
    <w:rsid w:val="00ED6540"/>
    <w:rsid w:val="00ED7168"/>
    <w:rsid w:val="00ED725E"/>
    <w:rsid w:val="00ED76BD"/>
    <w:rsid w:val="00EE0147"/>
    <w:rsid w:val="00EE0302"/>
    <w:rsid w:val="00EE11F5"/>
    <w:rsid w:val="00EE1A21"/>
    <w:rsid w:val="00EE255C"/>
    <w:rsid w:val="00EE2593"/>
    <w:rsid w:val="00EE2BFE"/>
    <w:rsid w:val="00EE5106"/>
    <w:rsid w:val="00EE525A"/>
    <w:rsid w:val="00EE592D"/>
    <w:rsid w:val="00EE6120"/>
    <w:rsid w:val="00EE6592"/>
    <w:rsid w:val="00EE65A2"/>
    <w:rsid w:val="00EE6CD6"/>
    <w:rsid w:val="00EF0829"/>
    <w:rsid w:val="00EF0C34"/>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55F6"/>
    <w:rsid w:val="00F05628"/>
    <w:rsid w:val="00F06B08"/>
    <w:rsid w:val="00F06BC1"/>
    <w:rsid w:val="00F07012"/>
    <w:rsid w:val="00F072C7"/>
    <w:rsid w:val="00F100F9"/>
    <w:rsid w:val="00F10CF5"/>
    <w:rsid w:val="00F11344"/>
    <w:rsid w:val="00F115D6"/>
    <w:rsid w:val="00F11CC2"/>
    <w:rsid w:val="00F1202E"/>
    <w:rsid w:val="00F12636"/>
    <w:rsid w:val="00F13480"/>
    <w:rsid w:val="00F13C34"/>
    <w:rsid w:val="00F141E6"/>
    <w:rsid w:val="00F1549E"/>
    <w:rsid w:val="00F15A5C"/>
    <w:rsid w:val="00F16412"/>
    <w:rsid w:val="00F20434"/>
    <w:rsid w:val="00F20724"/>
    <w:rsid w:val="00F2093B"/>
    <w:rsid w:val="00F211D2"/>
    <w:rsid w:val="00F22385"/>
    <w:rsid w:val="00F22421"/>
    <w:rsid w:val="00F2323B"/>
    <w:rsid w:val="00F23FB6"/>
    <w:rsid w:val="00F249D1"/>
    <w:rsid w:val="00F261A1"/>
    <w:rsid w:val="00F26E9D"/>
    <w:rsid w:val="00F2745E"/>
    <w:rsid w:val="00F30A9E"/>
    <w:rsid w:val="00F30FB8"/>
    <w:rsid w:val="00F3108E"/>
    <w:rsid w:val="00F313AB"/>
    <w:rsid w:val="00F317F6"/>
    <w:rsid w:val="00F321F9"/>
    <w:rsid w:val="00F32442"/>
    <w:rsid w:val="00F33A63"/>
    <w:rsid w:val="00F3543F"/>
    <w:rsid w:val="00F368A9"/>
    <w:rsid w:val="00F369CD"/>
    <w:rsid w:val="00F36D98"/>
    <w:rsid w:val="00F37B16"/>
    <w:rsid w:val="00F4031C"/>
    <w:rsid w:val="00F4083B"/>
    <w:rsid w:val="00F40A95"/>
    <w:rsid w:val="00F41A91"/>
    <w:rsid w:val="00F42ABB"/>
    <w:rsid w:val="00F43686"/>
    <w:rsid w:val="00F43FD0"/>
    <w:rsid w:val="00F44869"/>
    <w:rsid w:val="00F44D5D"/>
    <w:rsid w:val="00F45E4F"/>
    <w:rsid w:val="00F46188"/>
    <w:rsid w:val="00F47193"/>
    <w:rsid w:val="00F47866"/>
    <w:rsid w:val="00F50C6C"/>
    <w:rsid w:val="00F50C6E"/>
    <w:rsid w:val="00F50F72"/>
    <w:rsid w:val="00F520D3"/>
    <w:rsid w:val="00F532BD"/>
    <w:rsid w:val="00F536F8"/>
    <w:rsid w:val="00F545EB"/>
    <w:rsid w:val="00F549F7"/>
    <w:rsid w:val="00F569DB"/>
    <w:rsid w:val="00F57F11"/>
    <w:rsid w:val="00F60689"/>
    <w:rsid w:val="00F617ED"/>
    <w:rsid w:val="00F6344E"/>
    <w:rsid w:val="00F63710"/>
    <w:rsid w:val="00F63BCC"/>
    <w:rsid w:val="00F64BBE"/>
    <w:rsid w:val="00F64E04"/>
    <w:rsid w:val="00F65023"/>
    <w:rsid w:val="00F6654F"/>
    <w:rsid w:val="00F66EEA"/>
    <w:rsid w:val="00F706E0"/>
    <w:rsid w:val="00F72E96"/>
    <w:rsid w:val="00F73C8F"/>
    <w:rsid w:val="00F74D40"/>
    <w:rsid w:val="00F74FFE"/>
    <w:rsid w:val="00F76AF1"/>
    <w:rsid w:val="00F76DAD"/>
    <w:rsid w:val="00F77E5C"/>
    <w:rsid w:val="00F80CA2"/>
    <w:rsid w:val="00F8250B"/>
    <w:rsid w:val="00F83894"/>
    <w:rsid w:val="00F84694"/>
    <w:rsid w:val="00F851F5"/>
    <w:rsid w:val="00F87E4F"/>
    <w:rsid w:val="00F91A95"/>
    <w:rsid w:val="00F9235E"/>
    <w:rsid w:val="00F93BC9"/>
    <w:rsid w:val="00F94F48"/>
    <w:rsid w:val="00F95045"/>
    <w:rsid w:val="00F951F0"/>
    <w:rsid w:val="00F95294"/>
    <w:rsid w:val="00F963D7"/>
    <w:rsid w:val="00F96DB7"/>
    <w:rsid w:val="00F97200"/>
    <w:rsid w:val="00FA03D4"/>
    <w:rsid w:val="00FA0740"/>
    <w:rsid w:val="00FA173A"/>
    <w:rsid w:val="00FA1B98"/>
    <w:rsid w:val="00FA1E6A"/>
    <w:rsid w:val="00FA32B1"/>
    <w:rsid w:val="00FA34A4"/>
    <w:rsid w:val="00FA5925"/>
    <w:rsid w:val="00FA5EAB"/>
    <w:rsid w:val="00FA60EA"/>
    <w:rsid w:val="00FA6F7B"/>
    <w:rsid w:val="00FB03FD"/>
    <w:rsid w:val="00FB197D"/>
    <w:rsid w:val="00FB25B9"/>
    <w:rsid w:val="00FB2B62"/>
    <w:rsid w:val="00FB2C5D"/>
    <w:rsid w:val="00FB425D"/>
    <w:rsid w:val="00FB4640"/>
    <w:rsid w:val="00FB7481"/>
    <w:rsid w:val="00FB7955"/>
    <w:rsid w:val="00FC0537"/>
    <w:rsid w:val="00FC0CB9"/>
    <w:rsid w:val="00FC23EB"/>
    <w:rsid w:val="00FC2CB1"/>
    <w:rsid w:val="00FC381B"/>
    <w:rsid w:val="00FC38C3"/>
    <w:rsid w:val="00FC3C71"/>
    <w:rsid w:val="00FC4C7E"/>
    <w:rsid w:val="00FC5206"/>
    <w:rsid w:val="00FC65F0"/>
    <w:rsid w:val="00FC75A7"/>
    <w:rsid w:val="00FC7994"/>
    <w:rsid w:val="00FD1111"/>
    <w:rsid w:val="00FD176F"/>
    <w:rsid w:val="00FD219B"/>
    <w:rsid w:val="00FD441B"/>
    <w:rsid w:val="00FD4AFB"/>
    <w:rsid w:val="00FD5C02"/>
    <w:rsid w:val="00FD6270"/>
    <w:rsid w:val="00FD62A1"/>
    <w:rsid w:val="00FD66E8"/>
    <w:rsid w:val="00FD788B"/>
    <w:rsid w:val="00FD7D47"/>
    <w:rsid w:val="00FE12EC"/>
    <w:rsid w:val="00FE1876"/>
    <w:rsid w:val="00FE2112"/>
    <w:rsid w:val="00FE2C7F"/>
    <w:rsid w:val="00FE58F4"/>
    <w:rsid w:val="00FE5CA1"/>
    <w:rsid w:val="00FE5FBD"/>
    <w:rsid w:val="00FE600D"/>
    <w:rsid w:val="00FE68C9"/>
    <w:rsid w:val="00FE7218"/>
    <w:rsid w:val="00FE72AE"/>
    <w:rsid w:val="00FF0812"/>
    <w:rsid w:val="00FF086F"/>
    <w:rsid w:val="00FF0FCF"/>
    <w:rsid w:val="00FF1640"/>
    <w:rsid w:val="00FF1C05"/>
    <w:rsid w:val="00FF24E4"/>
    <w:rsid w:val="00FF37ED"/>
    <w:rsid w:val="00FF3F39"/>
    <w:rsid w:val="00FF44E7"/>
    <w:rsid w:val="00FF4A04"/>
    <w:rsid w:val="00FF4A43"/>
    <w:rsid w:val="00FF4D5C"/>
    <w:rsid w:val="00FF4F88"/>
    <w:rsid w:val="00FF53B8"/>
    <w:rsid w:val="00FF5C3D"/>
    <w:rsid w:val="00FF6358"/>
    <w:rsid w:val="00FF66BD"/>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39D076C"/>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1AD"/>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uiPriority w:val="39"/>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aliases w:val="Nomal 2"/>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4"/>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9"/>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8"/>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8"/>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aliases w:val="Nomal 2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10"/>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10"/>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985D43"/>
    <w:pPr>
      <w:numPr>
        <w:ilvl w:val="2"/>
      </w:numPr>
      <w:tabs>
        <w:tab w:val="clear" w:pos="1440"/>
        <w:tab w:val="left" w:pos="2160"/>
      </w:tabs>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 4"/>
    <w:basedOn w:val="KHeading3"/>
    <w:link w:val="KHeading4Char"/>
    <w:qFormat/>
    <w:rsid w:val="00985D43"/>
    <w:pPr>
      <w:numPr>
        <w:ilvl w:val="3"/>
      </w:numPr>
      <w:tabs>
        <w:tab w:val="clear" w:pos="2160"/>
        <w:tab w:val="left" w:pos="3240"/>
      </w:tabs>
    </w:pPr>
  </w:style>
  <w:style w:type="character" w:customStyle="1" w:styleId="KHeading3Char">
    <w:name w:val="K Heading 3 Char"/>
    <w:link w:val="KHeading3"/>
    <w:rsid w:val="00985D43"/>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 4 Char"/>
    <w:link w:val="KHeading4"/>
    <w:rsid w:val="00985D43"/>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F10CF5"/>
    <w:pPr>
      <w:numPr>
        <w:numId w:val="18"/>
      </w:numPr>
      <w:tabs>
        <w:tab w:val="left" w:pos="720"/>
      </w:tabs>
      <w:adjustRightInd/>
      <w:spacing w:after="240" w:line="240" w:lineRule="auto"/>
      <w:textAlignment w:val="auto"/>
    </w:pPr>
    <w:rPr>
      <w:rFonts w:ascii="Arial" w:hAnsi="Arial" w:cs="Arial"/>
      <w:snapToGrid w:val="0"/>
      <w:sz w:val="18"/>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2243165">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449005678">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08794411">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ordsrequest@citizensfla.com" TargetMode="External"/><Relationship Id="rId18" Type="http://schemas.openxmlformats.org/officeDocument/2006/relationships/hyperlink" Target="mailto:Vendor.ManagementOffice@citizensfla.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ori.Newman@citizensfla.com" TargetMode="External"/><Relationship Id="rId17" Type="http://schemas.openxmlformats.org/officeDocument/2006/relationships/hyperlink" Target="http://www.citizensfla.com/contrac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wsroom@citizensfl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citizensfla.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unbiz.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RDSREQUEST@CITIZENSFLA.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3.png@01D33E96.87D69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9E6AFF15D2504AAC0C1EB8CE5C7849" ma:contentTypeVersion="17" ma:contentTypeDescription="Create a new document." ma:contentTypeScope="" ma:versionID="7787703960e660b8113e24db4af0bcc9">
  <xsd:schema xmlns:xsd="http://www.w3.org/2001/XMLSchema" xmlns:xs="http://www.w3.org/2001/XMLSchema" xmlns:p="http://schemas.microsoft.com/office/2006/metadata/properties" xmlns:ns3="76e870c9-2a2c-4c4f-946d-e1d48d6e433e" xmlns:ns4="8e334ee5-7ec3-4126-be79-52e1f9ea8aaf" targetNamespace="http://schemas.microsoft.com/office/2006/metadata/properties" ma:root="true" ma:fieldsID="85efa894d29e225b126f23b9b90bf354" ns3:_="" ns4:_="">
    <xsd:import namespace="76e870c9-2a2c-4c4f-946d-e1d48d6e433e"/>
    <xsd:import namespace="8e334ee5-7ec3-4126-be79-52e1f9ea8a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870c9-2a2c-4c4f-946d-e1d48d6e4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34ee5-7ec3-4126-be79-52e1f9ea8a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e870c9-2a2c-4c4f-946d-e1d48d6e433e" xsi:nil="true"/>
  </documentManagement>
</p:properties>
</file>

<file path=customXml/itemProps1.xml><?xml version="1.0" encoding="utf-8"?>
<ds:datastoreItem xmlns:ds="http://schemas.openxmlformats.org/officeDocument/2006/customXml" ds:itemID="{9D1B6E2D-DC54-4308-99D7-43DAAB26FA14}">
  <ds:schemaRefs>
    <ds:schemaRef ds:uri="http://schemas.openxmlformats.org/officeDocument/2006/bibliography"/>
  </ds:schemaRefs>
</ds:datastoreItem>
</file>

<file path=customXml/itemProps2.xml><?xml version="1.0" encoding="utf-8"?>
<ds:datastoreItem xmlns:ds="http://schemas.openxmlformats.org/officeDocument/2006/customXml" ds:itemID="{915C9643-89A9-4F19-A882-437A8582E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870c9-2a2c-4c4f-946d-e1d48d6e433e"/>
    <ds:schemaRef ds:uri="8e334ee5-7ec3-4126-be79-52e1f9ea8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2DDC3-0962-41AF-BFD1-1A5B88EBBD1B}">
  <ds:schemaRefs>
    <ds:schemaRef ds:uri="http://schemas.microsoft.com/sharepoint/v3/contenttype/forms"/>
  </ds:schemaRefs>
</ds:datastoreItem>
</file>

<file path=customXml/itemProps4.xml><?xml version="1.0" encoding="utf-8"?>
<ds:datastoreItem xmlns:ds="http://schemas.openxmlformats.org/officeDocument/2006/customXml" ds:itemID="{D226918B-94F9-4A1F-9873-C262D0EBDB24}">
  <ds:schemaRefs>
    <ds:schemaRef ds:uri="http://schemas.microsoft.com/office/2006/metadata/properties"/>
    <ds:schemaRef ds:uri="http://purl.org/dc/terms/"/>
    <ds:schemaRef ds:uri="8e334ee5-7ec3-4126-be79-52e1f9ea8aaf"/>
    <ds:schemaRef ds:uri="http://schemas.microsoft.com/office/2006/documentManagement/types"/>
    <ds:schemaRef ds:uri="http://purl.org/dc/elements/1.1/"/>
    <ds:schemaRef ds:uri="http://www.w3.org/XML/1998/namespace"/>
    <ds:schemaRef ds:uri="76e870c9-2a2c-4c4f-946d-e1d48d6e433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10295</Words>
  <Characters>58622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68780</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Yolanda Banos</cp:lastModifiedBy>
  <cp:revision>3</cp:revision>
  <cp:lastPrinted>2020-10-20T12:44:00Z</cp:lastPrinted>
  <dcterms:created xsi:type="dcterms:W3CDTF">2024-04-15T20:49:00Z</dcterms:created>
  <dcterms:modified xsi:type="dcterms:W3CDTF">2024-04-15T20:50:00Z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0x0101006D9E6AFF15D2504AAC0C1EB8CE5C7849</vt:lpwstr>
  </property>
</Properties>
</file>