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95778" w14:textId="77777777" w:rsidR="00D25599" w:rsidRPr="00A03136" w:rsidRDefault="00D25599" w:rsidP="00BB6A90">
      <w:pPr>
        <w:spacing w:after="0" w:line="240" w:lineRule="auto"/>
        <w:rPr>
          <w:rFonts w:ascii="Arial" w:hAnsi="Arial" w:cs="Arial"/>
          <w:b/>
          <w:sz w:val="20"/>
          <w:szCs w:val="20"/>
        </w:rPr>
      </w:pPr>
    </w:p>
    <w:p w14:paraId="038B2DF6" w14:textId="408D99D6" w:rsidR="00BB6A90" w:rsidRPr="00A03136" w:rsidRDefault="00BB6A90" w:rsidP="00BB6A90">
      <w:pPr>
        <w:spacing w:after="0" w:line="240" w:lineRule="auto"/>
        <w:rPr>
          <w:rFonts w:ascii="Arial" w:hAnsi="Arial" w:cs="Arial"/>
          <w:b/>
          <w:sz w:val="20"/>
          <w:szCs w:val="20"/>
        </w:rPr>
      </w:pPr>
      <w:r w:rsidRPr="00A03136">
        <w:rPr>
          <w:rFonts w:ascii="Arial" w:hAnsi="Arial" w:cs="Arial"/>
          <w:b/>
          <w:sz w:val="20"/>
          <w:szCs w:val="20"/>
        </w:rPr>
        <w:t xml:space="preserve">FINANCIAL </w:t>
      </w:r>
      <w:r w:rsidR="00DB14FD" w:rsidRPr="00A03136">
        <w:rPr>
          <w:rFonts w:ascii="Arial" w:hAnsi="Arial" w:cs="Arial"/>
          <w:b/>
          <w:sz w:val="20"/>
          <w:szCs w:val="20"/>
        </w:rPr>
        <w:t>REVIEW</w:t>
      </w:r>
    </w:p>
    <w:p w14:paraId="0D6EEF51" w14:textId="77777777" w:rsidR="00750693" w:rsidRPr="00A03136" w:rsidRDefault="00750693" w:rsidP="00B63A9C">
      <w:pPr>
        <w:pStyle w:val="ListParagraph"/>
        <w:spacing w:after="0" w:line="240" w:lineRule="auto"/>
        <w:jc w:val="both"/>
        <w:rPr>
          <w:rFonts w:ascii="Arial" w:hAnsi="Arial" w:cs="Arial"/>
          <w:sz w:val="20"/>
          <w:szCs w:val="20"/>
        </w:rPr>
      </w:pPr>
    </w:p>
    <w:p w14:paraId="73DFABB2" w14:textId="62BFA572" w:rsidR="00750693" w:rsidRPr="00A03136" w:rsidRDefault="0090776A"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rPr>
        <w:t>As a risk management best practice</w:t>
      </w:r>
      <w:r w:rsidR="00BC20CB" w:rsidRPr="00A03136">
        <w:rPr>
          <w:rFonts w:ascii="Arial" w:hAnsi="Arial" w:cs="Arial"/>
          <w:sz w:val="20"/>
          <w:szCs w:val="20"/>
        </w:rPr>
        <w:t xml:space="preserve"> and part of the </w:t>
      </w:r>
      <w:r w:rsidR="00B77E2A" w:rsidRPr="00A03136">
        <w:rPr>
          <w:rFonts w:ascii="Arial" w:hAnsi="Arial" w:cs="Arial"/>
          <w:sz w:val="20"/>
          <w:szCs w:val="20"/>
        </w:rPr>
        <w:t>r</w:t>
      </w:r>
      <w:r w:rsidR="00BC20CB" w:rsidRPr="00A03136">
        <w:rPr>
          <w:rFonts w:ascii="Arial" w:hAnsi="Arial" w:cs="Arial"/>
          <w:sz w:val="20"/>
          <w:szCs w:val="20"/>
        </w:rPr>
        <w:t xml:space="preserve">esponsible </w:t>
      </w:r>
      <w:r w:rsidR="00B77E2A" w:rsidRPr="00A03136">
        <w:rPr>
          <w:rFonts w:ascii="Arial" w:hAnsi="Arial" w:cs="Arial"/>
          <w:sz w:val="20"/>
          <w:szCs w:val="20"/>
        </w:rPr>
        <w:t>v</w:t>
      </w:r>
      <w:r w:rsidR="00BC20CB" w:rsidRPr="00A03136">
        <w:rPr>
          <w:rFonts w:ascii="Arial" w:hAnsi="Arial" w:cs="Arial"/>
          <w:sz w:val="20"/>
          <w:szCs w:val="20"/>
        </w:rPr>
        <w:t xml:space="preserve">endor </w:t>
      </w:r>
      <w:r w:rsidR="006F46C6" w:rsidRPr="00A03136">
        <w:rPr>
          <w:rFonts w:ascii="Arial" w:hAnsi="Arial" w:cs="Arial"/>
          <w:sz w:val="20"/>
          <w:szCs w:val="20"/>
        </w:rPr>
        <w:t>determination (pursuant to ss. 287.057 and 287.012, F.S.)</w:t>
      </w:r>
      <w:r w:rsidR="003E1AC6" w:rsidRPr="00A03136">
        <w:rPr>
          <w:rFonts w:ascii="Arial" w:hAnsi="Arial" w:cs="Arial"/>
          <w:sz w:val="20"/>
          <w:szCs w:val="20"/>
        </w:rPr>
        <w:t xml:space="preserve"> Citizens </w:t>
      </w:r>
      <w:r w:rsidRPr="00A03136">
        <w:rPr>
          <w:rFonts w:ascii="Arial" w:hAnsi="Arial" w:cs="Arial"/>
          <w:sz w:val="20"/>
          <w:szCs w:val="20"/>
        </w:rPr>
        <w:t xml:space="preserve">will </w:t>
      </w:r>
      <w:r w:rsidR="005B3324" w:rsidRPr="00A03136">
        <w:rPr>
          <w:rFonts w:ascii="Arial" w:hAnsi="Arial" w:cs="Arial"/>
          <w:sz w:val="20"/>
          <w:szCs w:val="20"/>
        </w:rPr>
        <w:t xml:space="preserve">review documentation submitted by the Vendor to </w:t>
      </w:r>
      <w:r w:rsidRPr="00A03136">
        <w:rPr>
          <w:rFonts w:ascii="Arial" w:hAnsi="Arial" w:cs="Arial"/>
          <w:sz w:val="20"/>
          <w:szCs w:val="20"/>
        </w:rPr>
        <w:t>evaluate the</w:t>
      </w:r>
      <w:r w:rsidR="003E1AC6" w:rsidRPr="00A03136">
        <w:rPr>
          <w:rFonts w:ascii="Arial" w:hAnsi="Arial" w:cs="Arial"/>
          <w:sz w:val="20"/>
          <w:szCs w:val="20"/>
        </w:rPr>
        <w:t xml:space="preserve"> Vendor’s </w:t>
      </w:r>
      <w:r w:rsidR="005E04FC" w:rsidRPr="00A03136">
        <w:rPr>
          <w:rFonts w:ascii="Arial" w:hAnsi="Arial" w:cs="Arial"/>
          <w:sz w:val="20"/>
          <w:szCs w:val="20"/>
        </w:rPr>
        <w:t>financial stability</w:t>
      </w:r>
      <w:r w:rsidR="00097D44" w:rsidRPr="00A03136">
        <w:rPr>
          <w:rFonts w:ascii="Arial" w:hAnsi="Arial" w:cs="Arial"/>
          <w:sz w:val="20"/>
          <w:szCs w:val="20"/>
        </w:rPr>
        <w:t>,</w:t>
      </w:r>
      <w:r w:rsidR="005E04FC" w:rsidRPr="00A03136">
        <w:rPr>
          <w:rFonts w:ascii="Arial" w:hAnsi="Arial" w:cs="Arial"/>
          <w:sz w:val="20"/>
          <w:szCs w:val="20"/>
        </w:rPr>
        <w:t xml:space="preserve"> </w:t>
      </w:r>
      <w:r w:rsidR="008556B8" w:rsidRPr="00A03136">
        <w:rPr>
          <w:rFonts w:ascii="Arial" w:hAnsi="Arial" w:cs="Arial"/>
          <w:sz w:val="20"/>
          <w:szCs w:val="20"/>
        </w:rPr>
        <w:t>viability</w:t>
      </w:r>
      <w:r w:rsidR="008556B8" w:rsidRPr="00A03136">
        <w:rPr>
          <w:rFonts w:ascii="Arial" w:hAnsi="Arial" w:cs="Arial"/>
          <w:b/>
          <w:sz w:val="20"/>
          <w:szCs w:val="20"/>
        </w:rPr>
        <w:t xml:space="preserve"> </w:t>
      </w:r>
      <w:r w:rsidR="00097D44" w:rsidRPr="00A03136">
        <w:rPr>
          <w:rFonts w:ascii="Arial" w:hAnsi="Arial" w:cs="Arial"/>
          <w:sz w:val="20"/>
          <w:szCs w:val="20"/>
        </w:rPr>
        <w:t>and capacity</w:t>
      </w:r>
      <w:r w:rsidR="005E04FC" w:rsidRPr="00A03136">
        <w:rPr>
          <w:rFonts w:ascii="Arial" w:hAnsi="Arial" w:cs="Arial"/>
          <w:sz w:val="20"/>
          <w:szCs w:val="20"/>
        </w:rPr>
        <w:t xml:space="preserve">. </w:t>
      </w:r>
      <w:r w:rsidR="00750693" w:rsidRPr="00A03136">
        <w:rPr>
          <w:rFonts w:ascii="Arial" w:hAnsi="Arial" w:cs="Arial"/>
          <w:sz w:val="20"/>
          <w:szCs w:val="20"/>
        </w:rPr>
        <w:t xml:space="preserve">  The extent of the financial review required is based on the perceived level of risk associated with the services </w:t>
      </w:r>
      <w:r w:rsidRPr="00A03136">
        <w:rPr>
          <w:rFonts w:ascii="Arial" w:hAnsi="Arial" w:cs="Arial"/>
          <w:sz w:val="20"/>
          <w:szCs w:val="20"/>
        </w:rPr>
        <w:t>procured and term of the contract</w:t>
      </w:r>
      <w:r w:rsidR="00750693" w:rsidRPr="00A03136">
        <w:rPr>
          <w:rFonts w:ascii="Arial" w:hAnsi="Arial" w:cs="Arial"/>
          <w:sz w:val="20"/>
          <w:szCs w:val="20"/>
        </w:rPr>
        <w:t xml:space="preserve">. </w:t>
      </w:r>
    </w:p>
    <w:p w14:paraId="66CAD17C" w14:textId="5DB48C12" w:rsidR="008556B8" w:rsidRPr="00A03136" w:rsidRDefault="008556B8" w:rsidP="008556B8">
      <w:pPr>
        <w:spacing w:after="0" w:line="240" w:lineRule="auto"/>
        <w:jc w:val="both"/>
        <w:rPr>
          <w:rFonts w:ascii="Arial" w:hAnsi="Arial" w:cs="Arial"/>
          <w:sz w:val="20"/>
          <w:szCs w:val="20"/>
        </w:rPr>
      </w:pPr>
    </w:p>
    <w:p w14:paraId="0DD36BC6" w14:textId="752FE6C4" w:rsidR="008556B8" w:rsidRPr="00A03136" w:rsidRDefault="0090776A" w:rsidP="006D465F">
      <w:pPr>
        <w:spacing w:after="0" w:line="240" w:lineRule="auto"/>
        <w:ind w:left="360"/>
        <w:jc w:val="both"/>
        <w:rPr>
          <w:rFonts w:ascii="Arial" w:hAnsi="Arial" w:cs="Arial"/>
          <w:sz w:val="20"/>
          <w:szCs w:val="20"/>
        </w:rPr>
      </w:pPr>
      <w:r w:rsidRPr="00A03136">
        <w:rPr>
          <w:rFonts w:ascii="Arial" w:hAnsi="Arial" w:cs="Arial"/>
          <w:sz w:val="20"/>
          <w:szCs w:val="20"/>
        </w:rPr>
        <w:t>The general standard</w:t>
      </w:r>
      <w:r w:rsidR="00097D44" w:rsidRPr="00A03136">
        <w:rPr>
          <w:rFonts w:ascii="Arial" w:hAnsi="Arial" w:cs="Arial"/>
          <w:sz w:val="20"/>
          <w:szCs w:val="20"/>
        </w:rPr>
        <w:t xml:space="preserve"> of review is whether</w:t>
      </w:r>
      <w:r w:rsidRPr="00A03136">
        <w:rPr>
          <w:rFonts w:ascii="Arial" w:hAnsi="Arial" w:cs="Arial"/>
          <w:sz w:val="20"/>
          <w:szCs w:val="20"/>
        </w:rPr>
        <w:t xml:space="preserve"> the documents provided demonstrate the Vendor has the financial stability</w:t>
      </w:r>
      <w:r w:rsidR="00097B19" w:rsidRPr="00A03136">
        <w:rPr>
          <w:rFonts w:ascii="Arial" w:hAnsi="Arial" w:cs="Arial"/>
          <w:sz w:val="20"/>
          <w:szCs w:val="20"/>
        </w:rPr>
        <w:t>,</w:t>
      </w:r>
      <w:r w:rsidRPr="00A03136">
        <w:rPr>
          <w:rFonts w:ascii="Arial" w:hAnsi="Arial" w:cs="Arial"/>
          <w:sz w:val="20"/>
          <w:szCs w:val="20"/>
        </w:rPr>
        <w:t xml:space="preserve"> viability</w:t>
      </w:r>
      <w:r w:rsidR="00097B19" w:rsidRPr="00A03136">
        <w:rPr>
          <w:rFonts w:ascii="Arial" w:hAnsi="Arial" w:cs="Arial"/>
          <w:sz w:val="20"/>
          <w:szCs w:val="20"/>
        </w:rPr>
        <w:t>, and capacity</w:t>
      </w:r>
      <w:r w:rsidRPr="00A03136">
        <w:rPr>
          <w:rFonts w:ascii="Arial" w:hAnsi="Arial" w:cs="Arial"/>
          <w:sz w:val="20"/>
          <w:szCs w:val="20"/>
        </w:rPr>
        <w:t xml:space="preserve"> to perform the services under the contract for the term of the contract.  The following criteria will be integral in applying this general standard:</w:t>
      </w:r>
    </w:p>
    <w:p w14:paraId="02DA49B9" w14:textId="77777777" w:rsidR="008556B8" w:rsidRPr="00A03136" w:rsidRDefault="008556B8" w:rsidP="008556B8">
      <w:pPr>
        <w:spacing w:after="0" w:line="240" w:lineRule="auto"/>
        <w:jc w:val="both"/>
        <w:rPr>
          <w:rFonts w:ascii="Arial" w:hAnsi="Arial" w:cs="Arial"/>
          <w:sz w:val="20"/>
          <w:szCs w:val="20"/>
        </w:rPr>
      </w:pPr>
    </w:p>
    <w:p w14:paraId="0B4AF9EE" w14:textId="34BEF7EE" w:rsidR="008556B8" w:rsidRPr="00A03136" w:rsidRDefault="008556B8" w:rsidP="006D465F">
      <w:pPr>
        <w:pStyle w:val="ListParagraph"/>
        <w:numPr>
          <w:ilvl w:val="0"/>
          <w:numId w:val="6"/>
        </w:numPr>
        <w:spacing w:after="0" w:line="240" w:lineRule="auto"/>
        <w:ind w:right="-187"/>
        <w:jc w:val="both"/>
        <w:rPr>
          <w:rFonts w:ascii="Arial" w:hAnsi="Arial" w:cs="Arial"/>
          <w:sz w:val="20"/>
          <w:szCs w:val="20"/>
        </w:rPr>
      </w:pPr>
      <w:r w:rsidRPr="00A03136">
        <w:rPr>
          <w:rFonts w:ascii="Arial" w:hAnsi="Arial" w:cs="Arial"/>
          <w:b/>
          <w:sz w:val="20"/>
          <w:szCs w:val="20"/>
        </w:rPr>
        <w:t>Solvency</w:t>
      </w:r>
      <w:r w:rsidRPr="00A03136">
        <w:rPr>
          <w:rFonts w:ascii="Arial" w:hAnsi="Arial" w:cs="Arial"/>
          <w:sz w:val="20"/>
          <w:szCs w:val="20"/>
        </w:rPr>
        <w:t xml:space="preserve"> – the ability of a Vendor to meet its long-term obligations and remain in business over the life of the contract.  Solvency analysis includes comparison of total assets, total liabilities, and owner’s equity.  It also may include consideration of the nature and type of a Vendor’s assets and liabilities, and trends in operating results that could affect future solvency over the life of the contract.</w:t>
      </w:r>
    </w:p>
    <w:p w14:paraId="5662CA06" w14:textId="3A31D0A1" w:rsidR="008556B8" w:rsidRPr="00A03136" w:rsidRDefault="008556B8" w:rsidP="006D465F">
      <w:pPr>
        <w:spacing w:after="0" w:line="240" w:lineRule="auto"/>
        <w:ind w:left="1080" w:right="360"/>
        <w:jc w:val="both"/>
        <w:rPr>
          <w:rFonts w:ascii="Arial" w:hAnsi="Arial" w:cs="Arial"/>
          <w:sz w:val="20"/>
          <w:szCs w:val="20"/>
        </w:rPr>
      </w:pPr>
    </w:p>
    <w:p w14:paraId="26ED193F" w14:textId="7A293833" w:rsidR="008556B8" w:rsidRPr="00A03136" w:rsidRDefault="008556B8" w:rsidP="006D465F">
      <w:pPr>
        <w:pStyle w:val="ListParagraph"/>
        <w:numPr>
          <w:ilvl w:val="0"/>
          <w:numId w:val="6"/>
        </w:numPr>
        <w:spacing w:after="0" w:line="240" w:lineRule="auto"/>
        <w:ind w:right="-187"/>
        <w:jc w:val="both"/>
        <w:rPr>
          <w:rFonts w:ascii="Arial" w:hAnsi="Arial" w:cs="Arial"/>
          <w:sz w:val="20"/>
          <w:szCs w:val="20"/>
        </w:rPr>
      </w:pPr>
      <w:r w:rsidRPr="00A03136">
        <w:rPr>
          <w:rFonts w:ascii="Arial" w:hAnsi="Arial" w:cs="Arial"/>
          <w:b/>
          <w:sz w:val="20"/>
          <w:szCs w:val="20"/>
        </w:rPr>
        <w:t>Liquidity</w:t>
      </w:r>
      <w:r w:rsidRPr="00A03136">
        <w:rPr>
          <w:rFonts w:ascii="Arial" w:hAnsi="Arial" w:cs="Arial"/>
          <w:sz w:val="20"/>
          <w:szCs w:val="20"/>
        </w:rPr>
        <w:t xml:space="preserve"> – the ability of a Vendor to pay its immediate or short-term obligations.  Liquidity analysis includes comparison of current assets and current liabilities.  It also may include consideration of a Vendor’s cash flows and cash reserves.</w:t>
      </w:r>
    </w:p>
    <w:p w14:paraId="70EE3E9B" w14:textId="14B3197F" w:rsidR="008556B8" w:rsidRPr="00A03136" w:rsidRDefault="008556B8" w:rsidP="006D465F">
      <w:pPr>
        <w:spacing w:after="0" w:line="240" w:lineRule="auto"/>
        <w:ind w:left="1080" w:right="360"/>
        <w:jc w:val="both"/>
        <w:rPr>
          <w:rFonts w:ascii="Arial" w:hAnsi="Arial" w:cs="Arial"/>
          <w:sz w:val="20"/>
          <w:szCs w:val="20"/>
        </w:rPr>
      </w:pPr>
    </w:p>
    <w:p w14:paraId="7EE4AD67" w14:textId="14A6274C" w:rsidR="008556B8" w:rsidRPr="00A03136" w:rsidRDefault="008556B8" w:rsidP="006D465F">
      <w:pPr>
        <w:pStyle w:val="ListParagraph"/>
        <w:numPr>
          <w:ilvl w:val="0"/>
          <w:numId w:val="6"/>
        </w:numPr>
        <w:spacing w:after="0" w:line="240" w:lineRule="auto"/>
        <w:ind w:right="-187"/>
        <w:jc w:val="both"/>
        <w:rPr>
          <w:rFonts w:ascii="Arial" w:hAnsi="Arial" w:cs="Arial"/>
          <w:sz w:val="20"/>
          <w:szCs w:val="20"/>
        </w:rPr>
      </w:pPr>
      <w:r w:rsidRPr="00A03136">
        <w:rPr>
          <w:rFonts w:ascii="Arial" w:hAnsi="Arial" w:cs="Arial"/>
          <w:b/>
          <w:sz w:val="20"/>
          <w:szCs w:val="20"/>
        </w:rPr>
        <w:t>Profitability</w:t>
      </w:r>
      <w:r w:rsidRPr="00A03136">
        <w:rPr>
          <w:rFonts w:ascii="Arial" w:hAnsi="Arial" w:cs="Arial"/>
          <w:sz w:val="20"/>
          <w:szCs w:val="20"/>
        </w:rPr>
        <w:t xml:space="preserve"> – the </w:t>
      </w:r>
      <w:r w:rsidR="00F9678F" w:rsidRPr="00A03136">
        <w:rPr>
          <w:rFonts w:ascii="Arial" w:hAnsi="Arial" w:cs="Arial"/>
          <w:sz w:val="20"/>
          <w:szCs w:val="20"/>
        </w:rPr>
        <w:t xml:space="preserve">financial </w:t>
      </w:r>
      <w:r w:rsidR="007B400B" w:rsidRPr="00A03136">
        <w:rPr>
          <w:rFonts w:ascii="Arial" w:hAnsi="Arial" w:cs="Arial"/>
          <w:sz w:val="20"/>
          <w:szCs w:val="20"/>
        </w:rPr>
        <w:t>results of a Vendor’s operations; the excess or deficit of revenue over expenses.  Profitability analysis includes consideration of a Vendor’s recent operating results, trend analysis, and effect on the Vendor’s related solvency.</w:t>
      </w:r>
    </w:p>
    <w:p w14:paraId="25DD343E" w14:textId="5A01BEC3" w:rsidR="007B400B" w:rsidRPr="00A03136" w:rsidRDefault="007B400B" w:rsidP="006D465F">
      <w:pPr>
        <w:spacing w:after="0" w:line="240" w:lineRule="auto"/>
        <w:ind w:left="1080" w:right="360"/>
        <w:jc w:val="both"/>
        <w:rPr>
          <w:rFonts w:ascii="Arial" w:hAnsi="Arial" w:cs="Arial"/>
          <w:sz w:val="20"/>
          <w:szCs w:val="20"/>
        </w:rPr>
      </w:pPr>
    </w:p>
    <w:p w14:paraId="3229F0B0" w14:textId="4C72F818" w:rsidR="007B400B" w:rsidRPr="00A03136" w:rsidRDefault="007B400B" w:rsidP="006D465F">
      <w:pPr>
        <w:pStyle w:val="ListParagraph"/>
        <w:numPr>
          <w:ilvl w:val="0"/>
          <w:numId w:val="6"/>
        </w:numPr>
        <w:spacing w:after="0" w:line="240" w:lineRule="auto"/>
        <w:ind w:right="-187"/>
        <w:jc w:val="both"/>
        <w:rPr>
          <w:rFonts w:ascii="Arial" w:hAnsi="Arial" w:cs="Arial"/>
          <w:sz w:val="20"/>
          <w:szCs w:val="20"/>
        </w:rPr>
      </w:pPr>
      <w:r w:rsidRPr="00A03136">
        <w:rPr>
          <w:rFonts w:ascii="Arial" w:hAnsi="Arial" w:cs="Arial"/>
          <w:b/>
          <w:sz w:val="20"/>
          <w:szCs w:val="20"/>
        </w:rPr>
        <w:t>Capacity</w:t>
      </w:r>
      <w:r w:rsidRPr="00A03136">
        <w:rPr>
          <w:rFonts w:ascii="Arial" w:hAnsi="Arial" w:cs="Arial"/>
          <w:sz w:val="20"/>
          <w:szCs w:val="20"/>
        </w:rPr>
        <w:t xml:space="preserve"> – the </w:t>
      </w:r>
      <w:r w:rsidR="00F9678F" w:rsidRPr="00A03136">
        <w:rPr>
          <w:rFonts w:ascii="Arial" w:hAnsi="Arial" w:cs="Arial"/>
          <w:sz w:val="20"/>
          <w:szCs w:val="20"/>
        </w:rPr>
        <w:t xml:space="preserve">financial </w:t>
      </w:r>
      <w:r w:rsidRPr="00A03136">
        <w:rPr>
          <w:rFonts w:ascii="Arial" w:hAnsi="Arial" w:cs="Arial"/>
          <w:sz w:val="20"/>
          <w:szCs w:val="20"/>
        </w:rPr>
        <w:t>ability of a Vendor to produce the required goods or services over the term of the contract.  Capacity analysi</w:t>
      </w:r>
      <w:r w:rsidR="003C28CA" w:rsidRPr="00A03136">
        <w:rPr>
          <w:rFonts w:ascii="Arial" w:hAnsi="Arial" w:cs="Arial"/>
          <w:sz w:val="20"/>
          <w:szCs w:val="20"/>
        </w:rPr>
        <w:t xml:space="preserve">s includes consideration of size of the contract to the financial resources available to the Vendor, and to the Vendor’s current volume of business.  </w:t>
      </w:r>
    </w:p>
    <w:p w14:paraId="0E035254" w14:textId="77777777" w:rsidR="00750693" w:rsidRPr="00A03136" w:rsidRDefault="00750693" w:rsidP="00B63A9C">
      <w:pPr>
        <w:pStyle w:val="ListParagraph"/>
        <w:spacing w:after="0" w:line="240" w:lineRule="auto"/>
        <w:jc w:val="both"/>
        <w:rPr>
          <w:rFonts w:ascii="Arial" w:hAnsi="Arial" w:cs="Arial"/>
          <w:sz w:val="20"/>
          <w:szCs w:val="20"/>
        </w:rPr>
      </w:pPr>
    </w:p>
    <w:p w14:paraId="307A1172" w14:textId="01845398" w:rsidR="00750693" w:rsidRPr="00A03136" w:rsidRDefault="00750693"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u w:val="single"/>
        </w:rPr>
        <w:t>Mandatory Requirement.</w:t>
      </w:r>
      <w:r w:rsidRPr="00A03136">
        <w:rPr>
          <w:rFonts w:ascii="Arial" w:hAnsi="Arial" w:cs="Arial"/>
          <w:sz w:val="20"/>
          <w:szCs w:val="20"/>
        </w:rPr>
        <w:t xml:space="preserve">  The Vendor shall submit, the following financial documentation:</w:t>
      </w:r>
    </w:p>
    <w:p w14:paraId="55FC0D57" w14:textId="77777777" w:rsidR="003D2FC6" w:rsidRPr="00A03136" w:rsidRDefault="003D2FC6" w:rsidP="00BB6A90">
      <w:pPr>
        <w:spacing w:after="0" w:line="240" w:lineRule="auto"/>
        <w:rPr>
          <w:rFonts w:ascii="Arial" w:hAnsi="Arial" w:cs="Arial"/>
          <w:sz w:val="20"/>
          <w:szCs w:val="20"/>
        </w:rPr>
      </w:pPr>
    </w:p>
    <w:p w14:paraId="4198B505" w14:textId="69B9A523" w:rsidR="003D2FC6" w:rsidRDefault="003D2FC6" w:rsidP="005B5397">
      <w:pPr>
        <w:pStyle w:val="ListParagraph"/>
        <w:numPr>
          <w:ilvl w:val="0"/>
          <w:numId w:val="3"/>
        </w:numPr>
        <w:spacing w:after="0" w:line="240" w:lineRule="auto"/>
        <w:jc w:val="both"/>
        <w:rPr>
          <w:rFonts w:ascii="Arial" w:hAnsi="Arial" w:cs="Arial"/>
          <w:sz w:val="20"/>
          <w:szCs w:val="20"/>
        </w:rPr>
      </w:pPr>
      <w:r w:rsidRPr="00A03136">
        <w:rPr>
          <w:rFonts w:ascii="Arial" w:hAnsi="Arial" w:cs="Arial"/>
          <w:sz w:val="20"/>
          <w:szCs w:val="20"/>
        </w:rPr>
        <w:t xml:space="preserve">Complete annual financial statements for the </w:t>
      </w:r>
      <w:r w:rsidRPr="00A03136">
        <w:rPr>
          <w:rFonts w:ascii="Arial" w:hAnsi="Arial" w:cs="Arial"/>
          <w:sz w:val="20"/>
          <w:szCs w:val="20"/>
          <w:u w:val="single"/>
        </w:rPr>
        <w:t xml:space="preserve">most </w:t>
      </w:r>
      <w:r w:rsidR="002C5459" w:rsidRPr="00A03136">
        <w:rPr>
          <w:rFonts w:ascii="Arial" w:hAnsi="Arial" w:cs="Arial"/>
          <w:sz w:val="20"/>
          <w:szCs w:val="20"/>
          <w:u w:val="single"/>
        </w:rPr>
        <w:t>recent</w:t>
      </w:r>
      <w:r w:rsidRPr="00A03136">
        <w:rPr>
          <w:rFonts w:ascii="Arial" w:hAnsi="Arial" w:cs="Arial"/>
          <w:sz w:val="20"/>
          <w:szCs w:val="20"/>
          <w:u w:val="single"/>
        </w:rPr>
        <w:t xml:space="preserve"> fiscal year</w:t>
      </w:r>
      <w:r w:rsidR="00097D44" w:rsidRPr="00A03136">
        <w:rPr>
          <w:rFonts w:ascii="Arial" w:hAnsi="Arial" w:cs="Arial"/>
          <w:sz w:val="20"/>
          <w:szCs w:val="20"/>
        </w:rPr>
        <w:t xml:space="preserve"> (or the period the entity has been in existence if less than </w:t>
      </w:r>
      <w:r w:rsidR="006E418C" w:rsidRPr="00A03136">
        <w:rPr>
          <w:rFonts w:ascii="Arial" w:hAnsi="Arial" w:cs="Arial"/>
          <w:sz w:val="20"/>
          <w:szCs w:val="20"/>
        </w:rPr>
        <w:t>one</w:t>
      </w:r>
      <w:r w:rsidR="00097D44" w:rsidRPr="00A03136">
        <w:rPr>
          <w:rFonts w:ascii="Arial" w:hAnsi="Arial" w:cs="Arial"/>
          <w:sz w:val="20"/>
          <w:szCs w:val="20"/>
        </w:rPr>
        <w:t xml:space="preserve"> year)</w:t>
      </w:r>
      <w:r w:rsidRPr="00A03136">
        <w:rPr>
          <w:rFonts w:ascii="Arial" w:hAnsi="Arial" w:cs="Arial"/>
          <w:sz w:val="20"/>
          <w:szCs w:val="20"/>
        </w:rPr>
        <w:t xml:space="preserve">.  Complete annual financial statements </w:t>
      </w:r>
      <w:r w:rsidR="00DB14FD" w:rsidRPr="00A03136">
        <w:rPr>
          <w:rFonts w:ascii="Arial" w:hAnsi="Arial" w:cs="Arial"/>
          <w:sz w:val="20"/>
          <w:szCs w:val="20"/>
        </w:rPr>
        <w:t xml:space="preserve">should </w:t>
      </w:r>
      <w:r w:rsidRPr="00A03136">
        <w:rPr>
          <w:rFonts w:ascii="Arial" w:hAnsi="Arial" w:cs="Arial"/>
          <w:sz w:val="20"/>
          <w:szCs w:val="20"/>
        </w:rPr>
        <w:t>include a balance sheet, an income statement, a statement of owners’ e</w:t>
      </w:r>
      <w:r w:rsidR="0090776A" w:rsidRPr="00A03136">
        <w:rPr>
          <w:rFonts w:ascii="Arial" w:hAnsi="Arial" w:cs="Arial"/>
          <w:sz w:val="20"/>
          <w:szCs w:val="20"/>
        </w:rPr>
        <w:t xml:space="preserve">quity, a statement of cash </w:t>
      </w:r>
      <w:r w:rsidRPr="00A03136">
        <w:rPr>
          <w:rFonts w:ascii="Arial" w:hAnsi="Arial" w:cs="Arial"/>
          <w:sz w:val="20"/>
          <w:szCs w:val="20"/>
        </w:rPr>
        <w:t>flows, and accompanying note disclosures.  Such statements and note disclosures must clearly identify the basis of accounting on which the financial statements are reported, and contain all other disclosures required by generally accepted accounting principles</w:t>
      </w:r>
      <w:r w:rsidR="008A76CF" w:rsidRPr="00A03136">
        <w:rPr>
          <w:rFonts w:ascii="Arial" w:hAnsi="Arial" w:cs="Arial"/>
          <w:sz w:val="20"/>
          <w:szCs w:val="20"/>
        </w:rPr>
        <w:t>,</w:t>
      </w:r>
      <w:r w:rsidRPr="00A03136">
        <w:rPr>
          <w:rFonts w:ascii="Arial" w:hAnsi="Arial" w:cs="Arial"/>
          <w:sz w:val="20"/>
          <w:szCs w:val="20"/>
        </w:rPr>
        <w:t xml:space="preserve"> or necessary to understand the financial statements under the </w:t>
      </w:r>
      <w:r w:rsidR="008A76CF" w:rsidRPr="00A03136">
        <w:rPr>
          <w:rFonts w:ascii="Arial" w:hAnsi="Arial" w:cs="Arial"/>
          <w:sz w:val="20"/>
          <w:szCs w:val="20"/>
        </w:rPr>
        <w:t xml:space="preserve">applicable </w:t>
      </w:r>
      <w:r w:rsidRPr="00A03136">
        <w:rPr>
          <w:rFonts w:ascii="Arial" w:hAnsi="Arial" w:cs="Arial"/>
          <w:sz w:val="20"/>
          <w:szCs w:val="20"/>
        </w:rPr>
        <w:t>accounting and reporting basis.</w:t>
      </w:r>
      <w:r w:rsidR="00850B3B" w:rsidRPr="00A03136">
        <w:rPr>
          <w:rFonts w:ascii="Arial" w:hAnsi="Arial" w:cs="Arial"/>
          <w:sz w:val="20"/>
          <w:szCs w:val="20"/>
        </w:rPr>
        <w:t xml:space="preserve"> Options for complying with this mandatory requirement are provided in </w:t>
      </w:r>
      <w:proofErr w:type="gramStart"/>
      <w:r w:rsidR="00D837C9">
        <w:rPr>
          <w:rFonts w:ascii="Arial" w:hAnsi="Arial" w:cs="Arial"/>
          <w:sz w:val="20"/>
          <w:szCs w:val="20"/>
        </w:rPr>
        <w:t xml:space="preserve">Section </w:t>
      </w:r>
      <w:r w:rsidR="00850B3B" w:rsidRPr="00A03136">
        <w:rPr>
          <w:rFonts w:ascii="Arial" w:hAnsi="Arial" w:cs="Arial"/>
          <w:sz w:val="20"/>
          <w:szCs w:val="20"/>
        </w:rPr>
        <w:t xml:space="preserve"> </w:t>
      </w:r>
      <w:r w:rsidR="006D465F" w:rsidRPr="00A03136">
        <w:rPr>
          <w:rFonts w:ascii="Arial" w:hAnsi="Arial" w:cs="Arial"/>
          <w:sz w:val="20"/>
          <w:szCs w:val="20"/>
        </w:rPr>
        <w:t>3</w:t>
      </w:r>
      <w:proofErr w:type="gramEnd"/>
      <w:r w:rsidR="00850B3B" w:rsidRPr="00A03136">
        <w:rPr>
          <w:rFonts w:ascii="Arial" w:hAnsi="Arial" w:cs="Arial"/>
          <w:sz w:val="20"/>
          <w:szCs w:val="20"/>
        </w:rPr>
        <w:t xml:space="preserve">, </w:t>
      </w:r>
      <w:r w:rsidR="00D837C9">
        <w:rPr>
          <w:rFonts w:ascii="Arial" w:hAnsi="Arial" w:cs="Arial"/>
          <w:sz w:val="20"/>
          <w:szCs w:val="20"/>
        </w:rPr>
        <w:t xml:space="preserve">Financial Statements, </w:t>
      </w:r>
      <w:r w:rsidR="00850B3B" w:rsidRPr="00A03136">
        <w:rPr>
          <w:rFonts w:ascii="Arial" w:hAnsi="Arial" w:cs="Arial"/>
          <w:sz w:val="20"/>
          <w:szCs w:val="20"/>
        </w:rPr>
        <w:t>below.</w:t>
      </w:r>
    </w:p>
    <w:p w14:paraId="12011279" w14:textId="77777777" w:rsidR="00D837C9" w:rsidRPr="00D837C9" w:rsidRDefault="00D837C9" w:rsidP="00D837C9">
      <w:pPr>
        <w:spacing w:after="0" w:line="240" w:lineRule="auto"/>
        <w:jc w:val="both"/>
        <w:rPr>
          <w:rFonts w:ascii="Arial" w:hAnsi="Arial" w:cs="Arial"/>
          <w:sz w:val="20"/>
          <w:szCs w:val="20"/>
        </w:rPr>
      </w:pPr>
    </w:p>
    <w:p w14:paraId="135E404A" w14:textId="5CB7F172" w:rsidR="004A0A3B" w:rsidRPr="00B717A8" w:rsidRDefault="004A0A3B" w:rsidP="004A0A3B">
      <w:pPr>
        <w:pStyle w:val="ListParagraph"/>
        <w:numPr>
          <w:ilvl w:val="0"/>
          <w:numId w:val="3"/>
        </w:numPr>
        <w:spacing w:after="0" w:line="240" w:lineRule="auto"/>
        <w:rPr>
          <w:rFonts w:ascii="Arial" w:hAnsi="Arial" w:cs="Arial"/>
          <w:sz w:val="20"/>
          <w:szCs w:val="20"/>
        </w:rPr>
      </w:pPr>
      <w:r>
        <w:rPr>
          <w:rFonts w:ascii="Arial" w:hAnsi="Arial" w:cs="Arial"/>
          <w:sz w:val="20"/>
          <w:szCs w:val="20"/>
        </w:rPr>
        <w:t>S</w:t>
      </w:r>
      <w:r w:rsidRPr="00B717A8">
        <w:rPr>
          <w:rFonts w:ascii="Arial" w:hAnsi="Arial" w:cs="Arial"/>
          <w:sz w:val="20"/>
          <w:szCs w:val="20"/>
        </w:rPr>
        <w:t xml:space="preserve">ubmission of </w:t>
      </w:r>
      <w:r>
        <w:rPr>
          <w:rFonts w:ascii="Arial" w:hAnsi="Arial" w:cs="Arial"/>
          <w:sz w:val="20"/>
          <w:szCs w:val="20"/>
        </w:rPr>
        <w:t>a</w:t>
      </w:r>
      <w:r w:rsidRPr="00B717A8">
        <w:rPr>
          <w:rFonts w:ascii="Arial" w:hAnsi="Arial" w:cs="Arial"/>
          <w:sz w:val="20"/>
          <w:szCs w:val="20"/>
        </w:rPr>
        <w:t xml:space="preserve"> current and valid W-9 </w:t>
      </w:r>
      <w:r w:rsidR="00EE368E">
        <w:rPr>
          <w:rFonts w:ascii="Arial" w:hAnsi="Arial" w:cs="Arial"/>
          <w:sz w:val="20"/>
          <w:szCs w:val="20"/>
        </w:rPr>
        <w:t xml:space="preserve">or W-8 </w:t>
      </w:r>
      <w:r w:rsidRPr="00B717A8">
        <w:rPr>
          <w:rFonts w:ascii="Arial" w:hAnsi="Arial" w:cs="Arial"/>
          <w:sz w:val="20"/>
          <w:szCs w:val="20"/>
        </w:rPr>
        <w:t xml:space="preserve">Form is requested along with the other financial documents.  Go to </w:t>
      </w:r>
      <w:hyperlink r:id="rId9" w:history="1">
        <w:r w:rsidRPr="00B717A8">
          <w:rPr>
            <w:rStyle w:val="Hyperlink"/>
            <w:rFonts w:ascii="Arial" w:hAnsi="Arial" w:cs="Arial"/>
            <w:sz w:val="20"/>
            <w:szCs w:val="20"/>
          </w:rPr>
          <w:t>www.irs.gov/FormW9</w:t>
        </w:r>
      </w:hyperlink>
      <w:r w:rsidRPr="00B717A8">
        <w:rPr>
          <w:rFonts w:ascii="Arial" w:hAnsi="Arial" w:cs="Arial"/>
          <w:sz w:val="20"/>
          <w:szCs w:val="20"/>
        </w:rPr>
        <w:t xml:space="preserve"> for instructions and the latest information.  </w:t>
      </w:r>
    </w:p>
    <w:p w14:paraId="1A6568AB" w14:textId="77777777" w:rsidR="00B63A9C" w:rsidRPr="00A03136" w:rsidRDefault="00B63A9C" w:rsidP="00B63A9C">
      <w:pPr>
        <w:spacing w:after="0" w:line="240" w:lineRule="auto"/>
        <w:rPr>
          <w:rFonts w:ascii="Arial" w:hAnsi="Arial" w:cs="Arial"/>
          <w:sz w:val="20"/>
          <w:szCs w:val="20"/>
        </w:rPr>
      </w:pPr>
    </w:p>
    <w:p w14:paraId="3F6D3885" w14:textId="00F894D4" w:rsidR="008A76CF" w:rsidRPr="00A03136" w:rsidRDefault="00097D44"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u w:val="single"/>
        </w:rPr>
        <w:t>Financial Statements</w:t>
      </w:r>
      <w:r w:rsidR="009D1114" w:rsidRPr="00A03136">
        <w:rPr>
          <w:rFonts w:ascii="Arial" w:hAnsi="Arial" w:cs="Arial"/>
          <w:sz w:val="20"/>
          <w:szCs w:val="20"/>
          <w:u w:val="single"/>
        </w:rPr>
        <w:t>.</w:t>
      </w:r>
      <w:r w:rsidR="009D1114" w:rsidRPr="00A03136">
        <w:rPr>
          <w:rFonts w:ascii="Arial" w:hAnsi="Arial" w:cs="Arial"/>
          <w:sz w:val="20"/>
          <w:szCs w:val="20"/>
        </w:rPr>
        <w:t xml:space="preserve"> </w:t>
      </w:r>
      <w:r w:rsidR="00750693" w:rsidRPr="00A03136">
        <w:rPr>
          <w:rFonts w:ascii="Arial" w:hAnsi="Arial" w:cs="Arial"/>
          <w:sz w:val="20"/>
          <w:szCs w:val="20"/>
        </w:rPr>
        <w:t>Options for complying with the mand</w:t>
      </w:r>
      <w:r w:rsidR="00B84B0F" w:rsidRPr="00A03136">
        <w:rPr>
          <w:rFonts w:ascii="Arial" w:hAnsi="Arial" w:cs="Arial"/>
          <w:sz w:val="20"/>
          <w:szCs w:val="20"/>
        </w:rPr>
        <w:t xml:space="preserve">atory requirement in </w:t>
      </w:r>
      <w:r w:rsidR="00D837C9">
        <w:rPr>
          <w:rFonts w:ascii="Arial" w:hAnsi="Arial" w:cs="Arial"/>
          <w:sz w:val="20"/>
          <w:szCs w:val="20"/>
        </w:rPr>
        <w:t>Section</w:t>
      </w:r>
      <w:r w:rsidR="00B84B0F" w:rsidRPr="00A03136">
        <w:rPr>
          <w:rFonts w:ascii="Arial" w:hAnsi="Arial" w:cs="Arial"/>
          <w:sz w:val="20"/>
          <w:szCs w:val="20"/>
        </w:rPr>
        <w:t xml:space="preserve"> 2</w:t>
      </w:r>
      <w:r w:rsidR="00750693" w:rsidRPr="00A03136">
        <w:rPr>
          <w:rFonts w:ascii="Arial" w:hAnsi="Arial" w:cs="Arial"/>
          <w:sz w:val="20"/>
          <w:szCs w:val="20"/>
        </w:rPr>
        <w:t>, above,</w:t>
      </w:r>
      <w:r w:rsidR="00052F13" w:rsidRPr="00A03136">
        <w:rPr>
          <w:rFonts w:ascii="Arial" w:hAnsi="Arial" w:cs="Arial"/>
          <w:sz w:val="20"/>
          <w:szCs w:val="20"/>
        </w:rPr>
        <w:t xml:space="preserve"> are provided in a)</w:t>
      </w:r>
      <w:r w:rsidR="00750693" w:rsidRPr="00A03136">
        <w:rPr>
          <w:rFonts w:ascii="Arial" w:hAnsi="Arial" w:cs="Arial"/>
          <w:sz w:val="20"/>
          <w:szCs w:val="20"/>
        </w:rPr>
        <w:t xml:space="preserve"> – </w:t>
      </w:r>
      <w:r w:rsidR="00052F13" w:rsidRPr="00A03136">
        <w:rPr>
          <w:rFonts w:ascii="Arial" w:hAnsi="Arial" w:cs="Arial"/>
          <w:sz w:val="20"/>
          <w:szCs w:val="20"/>
        </w:rPr>
        <w:t>f)</w:t>
      </w:r>
      <w:r w:rsidR="00750693" w:rsidRPr="00A03136">
        <w:rPr>
          <w:rFonts w:ascii="Arial" w:hAnsi="Arial" w:cs="Arial"/>
          <w:sz w:val="20"/>
          <w:szCs w:val="20"/>
        </w:rPr>
        <w:t xml:space="preserve">, below. The level of assurance provided by the financial </w:t>
      </w:r>
      <w:r w:rsidRPr="00A03136">
        <w:rPr>
          <w:rFonts w:ascii="Arial" w:hAnsi="Arial" w:cs="Arial"/>
          <w:sz w:val="20"/>
          <w:szCs w:val="20"/>
        </w:rPr>
        <w:t>statements</w:t>
      </w:r>
      <w:r w:rsidR="00750693" w:rsidRPr="00A03136">
        <w:rPr>
          <w:rFonts w:ascii="Arial" w:hAnsi="Arial" w:cs="Arial"/>
          <w:sz w:val="20"/>
          <w:szCs w:val="20"/>
        </w:rPr>
        <w:t xml:space="preserve"> submitted will be considered by Citizens according to the following priority, in order, beginning with the highest </w:t>
      </w:r>
      <w:r w:rsidR="005F4287" w:rsidRPr="00A03136">
        <w:rPr>
          <w:rFonts w:ascii="Arial" w:hAnsi="Arial" w:cs="Arial"/>
          <w:sz w:val="20"/>
          <w:szCs w:val="20"/>
        </w:rPr>
        <w:t xml:space="preserve">level of </w:t>
      </w:r>
      <w:r w:rsidR="00750693" w:rsidRPr="00A03136">
        <w:rPr>
          <w:rFonts w:ascii="Arial" w:hAnsi="Arial" w:cs="Arial"/>
          <w:sz w:val="20"/>
          <w:szCs w:val="20"/>
        </w:rPr>
        <w:t>assurance:</w:t>
      </w:r>
    </w:p>
    <w:p w14:paraId="5C1E1C55" w14:textId="77777777" w:rsidR="008A76CF" w:rsidRPr="00A03136" w:rsidRDefault="008A76CF" w:rsidP="005B5397">
      <w:pPr>
        <w:spacing w:after="0" w:line="240" w:lineRule="auto"/>
        <w:ind w:left="720"/>
        <w:jc w:val="both"/>
        <w:rPr>
          <w:rFonts w:ascii="Arial" w:hAnsi="Arial" w:cs="Arial"/>
          <w:sz w:val="20"/>
          <w:szCs w:val="20"/>
        </w:rPr>
      </w:pPr>
    </w:p>
    <w:p w14:paraId="0A31D6CD" w14:textId="77777777" w:rsidR="008A76CF" w:rsidRPr="00A03136" w:rsidRDefault="008A76CF"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Financial statements </w:t>
      </w:r>
      <w:r w:rsidR="00F637FB" w:rsidRPr="00A03136">
        <w:rPr>
          <w:rFonts w:ascii="Arial" w:hAnsi="Arial" w:cs="Arial"/>
          <w:sz w:val="20"/>
          <w:szCs w:val="20"/>
        </w:rPr>
        <w:t>accompanied by the</w:t>
      </w:r>
      <w:r w:rsidR="00F637FB" w:rsidRPr="00A03136">
        <w:rPr>
          <w:rFonts w:ascii="Arial" w:hAnsi="Arial" w:cs="Arial"/>
          <w:b/>
          <w:i/>
          <w:sz w:val="20"/>
          <w:szCs w:val="20"/>
        </w:rPr>
        <w:t xml:space="preserve"> Audit </w:t>
      </w:r>
      <w:r w:rsidR="00F637FB" w:rsidRPr="00A03136">
        <w:rPr>
          <w:rFonts w:ascii="Arial" w:hAnsi="Arial" w:cs="Arial"/>
          <w:sz w:val="20"/>
          <w:szCs w:val="20"/>
        </w:rPr>
        <w:t>report</w:t>
      </w:r>
      <w:r w:rsidR="00F637FB" w:rsidRPr="00A03136">
        <w:rPr>
          <w:rFonts w:ascii="Arial" w:hAnsi="Arial" w:cs="Arial"/>
          <w:b/>
          <w:i/>
          <w:sz w:val="20"/>
          <w:szCs w:val="20"/>
        </w:rPr>
        <w:t xml:space="preserve"> </w:t>
      </w:r>
      <w:r w:rsidR="00F637FB" w:rsidRPr="00A03136">
        <w:rPr>
          <w:rFonts w:ascii="Arial" w:hAnsi="Arial" w:cs="Arial"/>
          <w:sz w:val="20"/>
          <w:szCs w:val="20"/>
        </w:rPr>
        <w:t xml:space="preserve">of </w:t>
      </w:r>
      <w:r w:rsidRPr="00A03136">
        <w:rPr>
          <w:rFonts w:ascii="Arial" w:hAnsi="Arial" w:cs="Arial"/>
          <w:sz w:val="20"/>
          <w:szCs w:val="20"/>
        </w:rPr>
        <w:t>an independent certified public accountant.</w:t>
      </w:r>
    </w:p>
    <w:p w14:paraId="350A3BDB" w14:textId="77777777" w:rsidR="005E5B78" w:rsidRPr="00A03136" w:rsidRDefault="005E5B78" w:rsidP="005B5397">
      <w:pPr>
        <w:pStyle w:val="ListParagraph"/>
        <w:spacing w:after="0" w:line="240" w:lineRule="auto"/>
        <w:ind w:left="648" w:right="-187"/>
        <w:jc w:val="both"/>
        <w:rPr>
          <w:rFonts w:ascii="Arial" w:hAnsi="Arial" w:cs="Arial"/>
          <w:sz w:val="20"/>
          <w:szCs w:val="20"/>
        </w:rPr>
      </w:pPr>
    </w:p>
    <w:p w14:paraId="64A7220A" w14:textId="77777777" w:rsidR="008A76CF" w:rsidRPr="00A03136" w:rsidRDefault="008A76CF"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Financial statements </w:t>
      </w:r>
      <w:r w:rsidR="00F637FB" w:rsidRPr="00A03136">
        <w:rPr>
          <w:rFonts w:ascii="Arial" w:hAnsi="Arial" w:cs="Arial"/>
          <w:sz w:val="20"/>
          <w:szCs w:val="20"/>
        </w:rPr>
        <w:t>accompanied by the</w:t>
      </w:r>
      <w:r w:rsidR="00F637FB" w:rsidRPr="00A03136">
        <w:rPr>
          <w:rFonts w:ascii="Arial" w:hAnsi="Arial" w:cs="Arial"/>
          <w:b/>
          <w:i/>
          <w:sz w:val="20"/>
          <w:szCs w:val="20"/>
        </w:rPr>
        <w:t xml:space="preserve"> </w:t>
      </w:r>
      <w:r w:rsidR="005E5B78" w:rsidRPr="00A03136">
        <w:rPr>
          <w:rFonts w:ascii="Arial" w:hAnsi="Arial" w:cs="Arial"/>
          <w:b/>
          <w:i/>
          <w:sz w:val="20"/>
          <w:szCs w:val="20"/>
        </w:rPr>
        <w:t>R</w:t>
      </w:r>
      <w:r w:rsidR="00F637FB" w:rsidRPr="00A03136">
        <w:rPr>
          <w:rFonts w:ascii="Arial" w:hAnsi="Arial" w:cs="Arial"/>
          <w:b/>
          <w:i/>
          <w:sz w:val="20"/>
          <w:szCs w:val="20"/>
        </w:rPr>
        <w:t xml:space="preserve">eview </w:t>
      </w:r>
      <w:r w:rsidR="00F637FB" w:rsidRPr="00A03136">
        <w:rPr>
          <w:rFonts w:ascii="Arial" w:hAnsi="Arial" w:cs="Arial"/>
          <w:sz w:val="20"/>
          <w:szCs w:val="20"/>
        </w:rPr>
        <w:t>report</w:t>
      </w:r>
      <w:r w:rsidR="00F637FB" w:rsidRPr="00A03136">
        <w:rPr>
          <w:rFonts w:ascii="Arial" w:hAnsi="Arial" w:cs="Arial"/>
          <w:b/>
          <w:i/>
          <w:sz w:val="20"/>
          <w:szCs w:val="20"/>
        </w:rPr>
        <w:t xml:space="preserve"> </w:t>
      </w:r>
      <w:r w:rsidR="00F637FB" w:rsidRPr="00A03136">
        <w:rPr>
          <w:rFonts w:ascii="Arial" w:hAnsi="Arial" w:cs="Arial"/>
          <w:sz w:val="20"/>
          <w:szCs w:val="20"/>
        </w:rPr>
        <w:t xml:space="preserve">of an </w:t>
      </w:r>
      <w:r w:rsidRPr="00A03136">
        <w:rPr>
          <w:rFonts w:ascii="Arial" w:hAnsi="Arial" w:cs="Arial"/>
          <w:sz w:val="20"/>
          <w:szCs w:val="20"/>
        </w:rPr>
        <w:t>independent certified public accountant.</w:t>
      </w:r>
    </w:p>
    <w:p w14:paraId="7AD1BF88" w14:textId="77777777" w:rsidR="005E5B78" w:rsidRPr="00A03136" w:rsidRDefault="005E5B78" w:rsidP="005B5397">
      <w:pPr>
        <w:spacing w:after="0" w:line="240" w:lineRule="auto"/>
        <w:ind w:left="360" w:right="-187"/>
        <w:jc w:val="both"/>
        <w:rPr>
          <w:rFonts w:ascii="Arial" w:hAnsi="Arial" w:cs="Arial"/>
          <w:sz w:val="20"/>
          <w:szCs w:val="20"/>
        </w:rPr>
      </w:pPr>
    </w:p>
    <w:p w14:paraId="5BADC5CE" w14:textId="77777777" w:rsidR="008A76CF" w:rsidRPr="00A03136" w:rsidRDefault="008A76CF"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Financial statements </w:t>
      </w:r>
      <w:r w:rsidR="00F637FB" w:rsidRPr="00A03136">
        <w:rPr>
          <w:rFonts w:ascii="Arial" w:hAnsi="Arial" w:cs="Arial"/>
          <w:sz w:val="20"/>
          <w:szCs w:val="20"/>
        </w:rPr>
        <w:t>accompanied by the</w:t>
      </w:r>
      <w:r w:rsidR="00F637FB" w:rsidRPr="00A03136">
        <w:rPr>
          <w:rFonts w:ascii="Arial" w:hAnsi="Arial" w:cs="Arial"/>
          <w:b/>
          <w:i/>
          <w:sz w:val="20"/>
          <w:szCs w:val="20"/>
        </w:rPr>
        <w:t xml:space="preserve"> </w:t>
      </w:r>
      <w:r w:rsidR="005E5B78" w:rsidRPr="00A03136">
        <w:rPr>
          <w:rFonts w:ascii="Arial" w:hAnsi="Arial" w:cs="Arial"/>
          <w:b/>
          <w:i/>
          <w:sz w:val="20"/>
          <w:szCs w:val="20"/>
        </w:rPr>
        <w:t>C</w:t>
      </w:r>
      <w:r w:rsidR="00F637FB" w:rsidRPr="00A03136">
        <w:rPr>
          <w:rFonts w:ascii="Arial" w:hAnsi="Arial" w:cs="Arial"/>
          <w:b/>
          <w:i/>
          <w:sz w:val="20"/>
          <w:szCs w:val="20"/>
        </w:rPr>
        <w:t xml:space="preserve">ompilation </w:t>
      </w:r>
      <w:r w:rsidR="00F637FB" w:rsidRPr="00A03136">
        <w:rPr>
          <w:rFonts w:ascii="Arial" w:hAnsi="Arial" w:cs="Arial"/>
          <w:sz w:val="20"/>
          <w:szCs w:val="20"/>
        </w:rPr>
        <w:t>report</w:t>
      </w:r>
      <w:r w:rsidR="00F637FB" w:rsidRPr="00A03136">
        <w:rPr>
          <w:rFonts w:ascii="Arial" w:hAnsi="Arial" w:cs="Arial"/>
          <w:b/>
          <w:i/>
          <w:sz w:val="20"/>
          <w:szCs w:val="20"/>
        </w:rPr>
        <w:t xml:space="preserve"> </w:t>
      </w:r>
      <w:r w:rsidR="00F637FB" w:rsidRPr="00A03136">
        <w:rPr>
          <w:rFonts w:ascii="Arial" w:hAnsi="Arial" w:cs="Arial"/>
          <w:sz w:val="20"/>
          <w:szCs w:val="20"/>
        </w:rPr>
        <w:t xml:space="preserve">of </w:t>
      </w:r>
      <w:r w:rsidRPr="00A03136">
        <w:rPr>
          <w:rFonts w:ascii="Arial" w:hAnsi="Arial" w:cs="Arial"/>
          <w:sz w:val="20"/>
          <w:szCs w:val="20"/>
        </w:rPr>
        <w:t>an independent certified public accountant.</w:t>
      </w:r>
    </w:p>
    <w:p w14:paraId="348A645A" w14:textId="77777777" w:rsidR="005E5B78" w:rsidRPr="00A03136" w:rsidRDefault="005E5B78" w:rsidP="005B5397">
      <w:pPr>
        <w:pStyle w:val="ListParagraph"/>
        <w:spacing w:after="0" w:line="240" w:lineRule="auto"/>
        <w:ind w:left="648" w:right="-187"/>
        <w:jc w:val="both"/>
        <w:rPr>
          <w:rFonts w:ascii="Arial" w:hAnsi="Arial" w:cs="Arial"/>
          <w:sz w:val="20"/>
          <w:szCs w:val="20"/>
        </w:rPr>
      </w:pPr>
    </w:p>
    <w:p w14:paraId="3C38957B" w14:textId="77777777" w:rsidR="008A76CF" w:rsidRPr="00A03136" w:rsidRDefault="008A76CF"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Financial statements </w:t>
      </w:r>
      <w:r w:rsidR="00F637FB" w:rsidRPr="00A03136">
        <w:rPr>
          <w:rFonts w:ascii="Arial" w:hAnsi="Arial" w:cs="Arial"/>
          <w:sz w:val="20"/>
          <w:szCs w:val="20"/>
        </w:rPr>
        <w:t xml:space="preserve">otherwise </w:t>
      </w:r>
      <w:r w:rsidRPr="00A03136">
        <w:rPr>
          <w:rFonts w:ascii="Arial" w:hAnsi="Arial" w:cs="Arial"/>
          <w:sz w:val="20"/>
          <w:szCs w:val="20"/>
        </w:rPr>
        <w:t>prepared by a certified public accountant.</w:t>
      </w:r>
    </w:p>
    <w:p w14:paraId="61CB5FC8" w14:textId="77777777" w:rsidR="005E5B78" w:rsidRPr="00A03136" w:rsidRDefault="005E5B78" w:rsidP="005B5397">
      <w:pPr>
        <w:spacing w:after="0" w:line="240" w:lineRule="auto"/>
        <w:ind w:left="360" w:right="-187"/>
        <w:jc w:val="both"/>
        <w:rPr>
          <w:rFonts w:ascii="Arial" w:hAnsi="Arial" w:cs="Arial"/>
          <w:sz w:val="20"/>
          <w:szCs w:val="20"/>
        </w:rPr>
      </w:pPr>
    </w:p>
    <w:p w14:paraId="52265C2A" w14:textId="77777777" w:rsidR="008A76CF" w:rsidRPr="00A03136" w:rsidRDefault="008A76CF"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Financial statements prepared by the </w:t>
      </w:r>
      <w:r w:rsidR="00ED32BA" w:rsidRPr="00A03136">
        <w:rPr>
          <w:rFonts w:ascii="Arial" w:hAnsi="Arial" w:cs="Arial"/>
          <w:sz w:val="20"/>
          <w:szCs w:val="20"/>
        </w:rPr>
        <w:t>V</w:t>
      </w:r>
      <w:r w:rsidRPr="00A03136">
        <w:rPr>
          <w:rFonts w:ascii="Arial" w:hAnsi="Arial" w:cs="Arial"/>
          <w:sz w:val="20"/>
          <w:szCs w:val="20"/>
        </w:rPr>
        <w:t xml:space="preserve">endor’s </w:t>
      </w:r>
      <w:r w:rsidR="00ED32BA" w:rsidRPr="00A03136">
        <w:rPr>
          <w:rFonts w:ascii="Arial" w:hAnsi="Arial" w:cs="Arial"/>
          <w:sz w:val="20"/>
          <w:szCs w:val="20"/>
        </w:rPr>
        <w:t xml:space="preserve">internal </w:t>
      </w:r>
      <w:r w:rsidRPr="00A03136">
        <w:rPr>
          <w:rFonts w:ascii="Arial" w:hAnsi="Arial" w:cs="Arial"/>
          <w:sz w:val="20"/>
          <w:szCs w:val="20"/>
        </w:rPr>
        <w:t>management.</w:t>
      </w:r>
    </w:p>
    <w:p w14:paraId="24AA8F4D" w14:textId="77777777" w:rsidR="00C94750" w:rsidRPr="00A03136" w:rsidRDefault="00C94750" w:rsidP="00C94750">
      <w:pPr>
        <w:pStyle w:val="ListParagraph"/>
        <w:rPr>
          <w:rFonts w:ascii="Arial" w:hAnsi="Arial" w:cs="Arial"/>
          <w:sz w:val="20"/>
          <w:szCs w:val="20"/>
        </w:rPr>
      </w:pPr>
    </w:p>
    <w:p w14:paraId="3E4840DC" w14:textId="77777777" w:rsidR="00C94750" w:rsidRPr="00A03136" w:rsidRDefault="00C94750" w:rsidP="006D465F">
      <w:pPr>
        <w:pStyle w:val="ListParagraph"/>
        <w:numPr>
          <w:ilvl w:val="0"/>
          <w:numId w:val="10"/>
        </w:numPr>
        <w:spacing w:after="0" w:line="240" w:lineRule="auto"/>
        <w:ind w:right="-187"/>
        <w:jc w:val="both"/>
        <w:rPr>
          <w:rFonts w:ascii="Arial" w:hAnsi="Arial" w:cs="Arial"/>
          <w:sz w:val="20"/>
          <w:szCs w:val="20"/>
        </w:rPr>
      </w:pPr>
      <w:r w:rsidRPr="00A03136">
        <w:rPr>
          <w:rFonts w:ascii="Arial" w:hAnsi="Arial" w:cs="Arial"/>
          <w:sz w:val="20"/>
          <w:szCs w:val="20"/>
        </w:rPr>
        <w:t xml:space="preserve">Consolidated financial statements identified in </w:t>
      </w:r>
      <w:r w:rsidR="00E62CC3" w:rsidRPr="00A03136">
        <w:rPr>
          <w:rFonts w:ascii="Arial" w:hAnsi="Arial" w:cs="Arial"/>
          <w:sz w:val="20"/>
          <w:szCs w:val="20"/>
        </w:rPr>
        <w:t>a)</w:t>
      </w:r>
      <w:r w:rsidRPr="00A03136">
        <w:rPr>
          <w:rFonts w:ascii="Arial" w:hAnsi="Arial" w:cs="Arial"/>
          <w:sz w:val="20"/>
          <w:szCs w:val="20"/>
        </w:rPr>
        <w:t xml:space="preserve"> – </w:t>
      </w:r>
      <w:r w:rsidR="005F4287" w:rsidRPr="00A03136">
        <w:rPr>
          <w:rFonts w:ascii="Arial" w:hAnsi="Arial" w:cs="Arial"/>
          <w:sz w:val="20"/>
          <w:szCs w:val="20"/>
        </w:rPr>
        <w:t>e</w:t>
      </w:r>
      <w:r w:rsidR="00E62CC3" w:rsidRPr="00A03136">
        <w:rPr>
          <w:rFonts w:ascii="Arial" w:hAnsi="Arial" w:cs="Arial"/>
          <w:sz w:val="20"/>
          <w:szCs w:val="20"/>
        </w:rPr>
        <w:t>)</w:t>
      </w:r>
      <w:r w:rsidRPr="00A03136">
        <w:rPr>
          <w:rFonts w:ascii="Arial" w:hAnsi="Arial" w:cs="Arial"/>
          <w:sz w:val="20"/>
          <w:szCs w:val="20"/>
        </w:rPr>
        <w:t xml:space="preserve"> </w:t>
      </w:r>
      <w:r w:rsidR="003C3975" w:rsidRPr="00A03136">
        <w:rPr>
          <w:rFonts w:ascii="Arial" w:eastAsia="Calibri" w:hAnsi="Arial" w:cs="Arial"/>
          <w:bCs/>
          <w:kern w:val="32"/>
          <w:sz w:val="20"/>
          <w:szCs w:val="20"/>
        </w:rPr>
        <w:t>of the Vendor’s parent entity.  If Vendor uses this option to validate financial stability, a parental guaranty assuring the parent entity will financially support the Vendor throughout the term of the prospective contract will be required prior to contracting</w:t>
      </w:r>
    </w:p>
    <w:p w14:paraId="74ED0120" w14:textId="77777777" w:rsidR="004062EB" w:rsidRPr="00A03136" w:rsidRDefault="004062EB" w:rsidP="005B5397">
      <w:pPr>
        <w:spacing w:after="0" w:line="240" w:lineRule="auto"/>
        <w:ind w:right="-187" w:hanging="288"/>
        <w:jc w:val="both"/>
        <w:rPr>
          <w:rFonts w:ascii="Arial" w:hAnsi="Arial" w:cs="Arial"/>
          <w:sz w:val="20"/>
          <w:szCs w:val="20"/>
        </w:rPr>
      </w:pPr>
    </w:p>
    <w:p w14:paraId="43511439" w14:textId="776F1110" w:rsidR="00750693" w:rsidRPr="00A03136" w:rsidRDefault="00E62CC3"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u w:val="single"/>
        </w:rPr>
        <w:t>Financial Stability</w:t>
      </w:r>
      <w:r w:rsidR="00097D44" w:rsidRPr="00A03136">
        <w:rPr>
          <w:rFonts w:ascii="Arial" w:hAnsi="Arial" w:cs="Arial"/>
          <w:sz w:val="20"/>
          <w:szCs w:val="20"/>
          <w:u w:val="single"/>
        </w:rPr>
        <w:t>,</w:t>
      </w:r>
      <w:r w:rsidRPr="00A03136">
        <w:rPr>
          <w:rFonts w:ascii="Arial" w:hAnsi="Arial" w:cs="Arial"/>
          <w:sz w:val="20"/>
          <w:szCs w:val="20"/>
          <w:u w:val="single"/>
        </w:rPr>
        <w:t xml:space="preserve"> Viability </w:t>
      </w:r>
      <w:r w:rsidR="00097D44" w:rsidRPr="00A03136">
        <w:rPr>
          <w:rFonts w:ascii="Arial" w:hAnsi="Arial" w:cs="Arial"/>
          <w:sz w:val="20"/>
          <w:szCs w:val="20"/>
          <w:u w:val="single"/>
        </w:rPr>
        <w:t xml:space="preserve">and Capacity </w:t>
      </w:r>
      <w:r w:rsidRPr="00A03136">
        <w:rPr>
          <w:rFonts w:ascii="Arial" w:hAnsi="Arial" w:cs="Arial"/>
          <w:sz w:val="20"/>
          <w:szCs w:val="20"/>
          <w:u w:val="single"/>
        </w:rPr>
        <w:t>Determination (</w:t>
      </w:r>
      <w:r w:rsidR="00750693" w:rsidRPr="00A03136">
        <w:rPr>
          <w:rFonts w:ascii="Arial" w:hAnsi="Arial" w:cs="Arial"/>
          <w:sz w:val="20"/>
          <w:szCs w:val="20"/>
          <w:u w:val="single"/>
        </w:rPr>
        <w:t>P</w:t>
      </w:r>
      <w:r w:rsidRPr="00A03136">
        <w:rPr>
          <w:rFonts w:ascii="Arial" w:hAnsi="Arial" w:cs="Arial"/>
          <w:sz w:val="20"/>
          <w:szCs w:val="20"/>
          <w:u w:val="single"/>
        </w:rPr>
        <w:t>ASS</w:t>
      </w:r>
      <w:r w:rsidR="00750693" w:rsidRPr="00A03136">
        <w:rPr>
          <w:rFonts w:ascii="Arial" w:hAnsi="Arial" w:cs="Arial"/>
          <w:sz w:val="20"/>
          <w:szCs w:val="20"/>
          <w:u w:val="single"/>
        </w:rPr>
        <w:t>/F</w:t>
      </w:r>
      <w:r w:rsidRPr="00A03136">
        <w:rPr>
          <w:rFonts w:ascii="Arial" w:hAnsi="Arial" w:cs="Arial"/>
          <w:sz w:val="20"/>
          <w:szCs w:val="20"/>
          <w:u w:val="single"/>
        </w:rPr>
        <w:t>AIL)</w:t>
      </w:r>
      <w:r w:rsidR="00750693" w:rsidRPr="00A03136">
        <w:rPr>
          <w:rFonts w:ascii="Arial" w:hAnsi="Arial" w:cs="Arial"/>
          <w:sz w:val="20"/>
          <w:szCs w:val="20"/>
          <w:u w:val="single"/>
        </w:rPr>
        <w:t>.</w:t>
      </w:r>
      <w:r w:rsidR="00750693" w:rsidRPr="00A03136">
        <w:rPr>
          <w:rFonts w:ascii="Arial" w:hAnsi="Arial" w:cs="Arial"/>
          <w:sz w:val="20"/>
          <w:szCs w:val="20"/>
        </w:rPr>
        <w:t xml:space="preserve"> The Vendor may submit its financial documentation in any manner described in </w:t>
      </w:r>
      <w:r w:rsidR="00D837C9">
        <w:rPr>
          <w:rFonts w:ascii="Arial" w:hAnsi="Arial" w:cs="Arial"/>
          <w:sz w:val="20"/>
          <w:szCs w:val="20"/>
        </w:rPr>
        <w:t>Section</w:t>
      </w:r>
      <w:r w:rsidR="00750693" w:rsidRPr="00A03136">
        <w:rPr>
          <w:rFonts w:ascii="Arial" w:hAnsi="Arial" w:cs="Arial"/>
          <w:sz w:val="20"/>
          <w:szCs w:val="20"/>
        </w:rPr>
        <w:t xml:space="preserve"> </w:t>
      </w:r>
      <w:r w:rsidR="006D465F" w:rsidRPr="00A03136">
        <w:rPr>
          <w:rFonts w:ascii="Arial" w:hAnsi="Arial" w:cs="Arial"/>
          <w:sz w:val="20"/>
          <w:szCs w:val="20"/>
        </w:rPr>
        <w:t>3</w:t>
      </w:r>
      <w:r w:rsidR="00750693" w:rsidRPr="00A03136">
        <w:rPr>
          <w:rFonts w:ascii="Arial" w:hAnsi="Arial" w:cs="Arial"/>
          <w:sz w:val="20"/>
          <w:szCs w:val="20"/>
        </w:rPr>
        <w:t>, above.  For Vendors submitti</w:t>
      </w:r>
      <w:r w:rsidR="00860807" w:rsidRPr="00A03136">
        <w:rPr>
          <w:rFonts w:ascii="Arial" w:hAnsi="Arial" w:cs="Arial"/>
          <w:sz w:val="20"/>
          <w:szCs w:val="20"/>
        </w:rPr>
        <w:t>ng documentation under options 3</w:t>
      </w:r>
      <w:r w:rsidR="00750693" w:rsidRPr="00A03136">
        <w:rPr>
          <w:rFonts w:ascii="Arial" w:hAnsi="Arial" w:cs="Arial"/>
          <w:sz w:val="20"/>
          <w:szCs w:val="20"/>
        </w:rPr>
        <w:t>.</w:t>
      </w:r>
      <w:r w:rsidR="005B7332" w:rsidRPr="00A03136">
        <w:rPr>
          <w:rFonts w:ascii="Arial" w:hAnsi="Arial" w:cs="Arial"/>
          <w:sz w:val="20"/>
          <w:szCs w:val="20"/>
        </w:rPr>
        <w:t>b)</w:t>
      </w:r>
      <w:r w:rsidR="00D837C9">
        <w:rPr>
          <w:rFonts w:ascii="Arial" w:hAnsi="Arial" w:cs="Arial"/>
          <w:sz w:val="20"/>
          <w:szCs w:val="20"/>
        </w:rPr>
        <w:t xml:space="preserve"> </w:t>
      </w:r>
      <w:r w:rsidR="00860807" w:rsidRPr="00A03136">
        <w:rPr>
          <w:rFonts w:ascii="Arial" w:hAnsi="Arial" w:cs="Arial"/>
          <w:sz w:val="20"/>
          <w:szCs w:val="20"/>
        </w:rPr>
        <w:t>-</w:t>
      </w:r>
      <w:r w:rsidR="00D837C9">
        <w:rPr>
          <w:rFonts w:ascii="Arial" w:hAnsi="Arial" w:cs="Arial"/>
          <w:sz w:val="20"/>
          <w:szCs w:val="20"/>
        </w:rPr>
        <w:t xml:space="preserve"> </w:t>
      </w:r>
      <w:r w:rsidR="00860807" w:rsidRPr="00A03136">
        <w:rPr>
          <w:rFonts w:ascii="Arial" w:hAnsi="Arial" w:cs="Arial"/>
          <w:sz w:val="20"/>
          <w:szCs w:val="20"/>
        </w:rPr>
        <w:t>3</w:t>
      </w:r>
      <w:r w:rsidR="00750693" w:rsidRPr="00A03136">
        <w:rPr>
          <w:rFonts w:ascii="Arial" w:hAnsi="Arial" w:cs="Arial"/>
          <w:sz w:val="20"/>
          <w:szCs w:val="20"/>
        </w:rPr>
        <w:t>.</w:t>
      </w:r>
      <w:r w:rsidR="005B7332" w:rsidRPr="00A03136">
        <w:rPr>
          <w:rFonts w:ascii="Arial" w:hAnsi="Arial" w:cs="Arial"/>
          <w:sz w:val="20"/>
          <w:szCs w:val="20"/>
        </w:rPr>
        <w:t>f)</w:t>
      </w:r>
      <w:r w:rsidR="00750693" w:rsidRPr="00A03136">
        <w:rPr>
          <w:rFonts w:ascii="Arial" w:hAnsi="Arial" w:cs="Arial"/>
          <w:sz w:val="20"/>
          <w:szCs w:val="20"/>
        </w:rPr>
        <w:t xml:space="preserve">, Citizens, or </w:t>
      </w:r>
      <w:r w:rsidR="005F4287" w:rsidRPr="00A03136">
        <w:rPr>
          <w:rFonts w:ascii="Arial" w:hAnsi="Arial" w:cs="Arial"/>
          <w:sz w:val="20"/>
          <w:szCs w:val="20"/>
        </w:rPr>
        <w:t>its</w:t>
      </w:r>
      <w:r w:rsidR="00750693" w:rsidRPr="00A03136">
        <w:rPr>
          <w:rFonts w:ascii="Arial" w:hAnsi="Arial" w:cs="Arial"/>
          <w:sz w:val="20"/>
          <w:szCs w:val="20"/>
        </w:rPr>
        <w:t xml:space="preserve"> designee, will assess the financial stability and viability of the Vendor and make </w:t>
      </w:r>
      <w:r w:rsidR="00097D44" w:rsidRPr="00A03136">
        <w:rPr>
          <w:rFonts w:ascii="Arial" w:hAnsi="Arial" w:cs="Arial"/>
          <w:sz w:val="20"/>
          <w:szCs w:val="20"/>
        </w:rPr>
        <w:t xml:space="preserve">a </w:t>
      </w:r>
      <w:r w:rsidR="00750693" w:rsidRPr="00A03136">
        <w:rPr>
          <w:rFonts w:ascii="Arial" w:hAnsi="Arial" w:cs="Arial"/>
          <w:sz w:val="20"/>
          <w:szCs w:val="20"/>
        </w:rPr>
        <w:t>P</w:t>
      </w:r>
      <w:r w:rsidRPr="00A03136">
        <w:rPr>
          <w:rFonts w:ascii="Arial" w:hAnsi="Arial" w:cs="Arial"/>
          <w:sz w:val="20"/>
          <w:szCs w:val="20"/>
        </w:rPr>
        <w:t>ASS</w:t>
      </w:r>
      <w:r w:rsidR="00750693" w:rsidRPr="00A03136">
        <w:rPr>
          <w:rFonts w:ascii="Arial" w:hAnsi="Arial" w:cs="Arial"/>
          <w:sz w:val="20"/>
          <w:szCs w:val="20"/>
        </w:rPr>
        <w:t>/</w:t>
      </w:r>
      <w:r w:rsidRPr="00A03136">
        <w:rPr>
          <w:rFonts w:ascii="Arial" w:hAnsi="Arial" w:cs="Arial"/>
          <w:sz w:val="20"/>
          <w:szCs w:val="20"/>
        </w:rPr>
        <w:t>FAIL</w:t>
      </w:r>
      <w:r w:rsidR="00750693" w:rsidRPr="00A03136">
        <w:rPr>
          <w:rFonts w:ascii="Arial" w:hAnsi="Arial" w:cs="Arial"/>
          <w:sz w:val="20"/>
          <w:szCs w:val="20"/>
        </w:rPr>
        <w:t xml:space="preserve"> determination, considering:</w:t>
      </w:r>
    </w:p>
    <w:p w14:paraId="1881A241" w14:textId="73125B95" w:rsidR="00750693" w:rsidRPr="00A03136" w:rsidRDefault="0075069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 xml:space="preserve">The level of assurance provided by the financial documentation submitted. Lower priority levels of documentation are more likely to require additional documentation under </w:t>
      </w:r>
      <w:r w:rsidR="00D837C9">
        <w:rPr>
          <w:rFonts w:ascii="Arial" w:hAnsi="Arial" w:cs="Arial"/>
          <w:sz w:val="20"/>
          <w:szCs w:val="20"/>
        </w:rPr>
        <w:t>Section</w:t>
      </w:r>
      <w:r w:rsidR="000B557A" w:rsidRPr="00A03136">
        <w:rPr>
          <w:rFonts w:ascii="Arial" w:hAnsi="Arial" w:cs="Arial"/>
          <w:sz w:val="20"/>
          <w:szCs w:val="20"/>
        </w:rPr>
        <w:t>s</w:t>
      </w:r>
      <w:r w:rsidRPr="00A03136">
        <w:rPr>
          <w:rFonts w:ascii="Arial" w:hAnsi="Arial" w:cs="Arial"/>
          <w:sz w:val="20"/>
          <w:szCs w:val="20"/>
        </w:rPr>
        <w:t xml:space="preserve"> </w:t>
      </w:r>
      <w:r w:rsidR="00860807" w:rsidRPr="00A03136">
        <w:rPr>
          <w:rFonts w:ascii="Arial" w:hAnsi="Arial" w:cs="Arial"/>
          <w:sz w:val="20"/>
          <w:szCs w:val="20"/>
        </w:rPr>
        <w:t>5</w:t>
      </w:r>
      <w:r w:rsidR="000B557A" w:rsidRPr="00A03136">
        <w:rPr>
          <w:rFonts w:ascii="Arial" w:hAnsi="Arial" w:cs="Arial"/>
          <w:sz w:val="20"/>
          <w:szCs w:val="20"/>
        </w:rPr>
        <w:t xml:space="preserve"> and </w:t>
      </w:r>
      <w:r w:rsidR="00860807" w:rsidRPr="00A03136">
        <w:rPr>
          <w:rFonts w:ascii="Arial" w:hAnsi="Arial" w:cs="Arial"/>
          <w:sz w:val="20"/>
          <w:szCs w:val="20"/>
        </w:rPr>
        <w:t>6</w:t>
      </w:r>
      <w:r w:rsidRPr="00A03136">
        <w:rPr>
          <w:rFonts w:ascii="Arial" w:hAnsi="Arial" w:cs="Arial"/>
          <w:sz w:val="20"/>
          <w:szCs w:val="20"/>
        </w:rPr>
        <w:t>, below.</w:t>
      </w:r>
      <w:r w:rsidRPr="00A03136" w:rsidDel="00230FAC">
        <w:rPr>
          <w:rFonts w:ascii="Arial" w:hAnsi="Arial" w:cs="Arial"/>
          <w:sz w:val="20"/>
          <w:szCs w:val="20"/>
        </w:rPr>
        <w:t xml:space="preserve"> </w:t>
      </w:r>
      <w:r w:rsidRPr="00A03136">
        <w:rPr>
          <w:rFonts w:ascii="Arial" w:hAnsi="Arial" w:cs="Arial"/>
          <w:sz w:val="20"/>
          <w:szCs w:val="20"/>
        </w:rPr>
        <w:t xml:space="preserve"> </w:t>
      </w:r>
    </w:p>
    <w:p w14:paraId="403A5F65" w14:textId="77777777" w:rsidR="00750693" w:rsidRPr="00A03136" w:rsidRDefault="0075069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The financial condition or position of the Vendor</w:t>
      </w:r>
      <w:r w:rsidR="00E62CC3" w:rsidRPr="00A03136">
        <w:rPr>
          <w:rFonts w:ascii="Arial" w:hAnsi="Arial" w:cs="Arial"/>
          <w:sz w:val="20"/>
          <w:szCs w:val="20"/>
        </w:rPr>
        <w:t xml:space="preserve"> during the most recent year</w:t>
      </w:r>
      <w:r w:rsidRPr="00A03136">
        <w:rPr>
          <w:rFonts w:ascii="Arial" w:hAnsi="Arial" w:cs="Arial"/>
          <w:sz w:val="20"/>
          <w:szCs w:val="20"/>
        </w:rPr>
        <w:t xml:space="preserve">. </w:t>
      </w:r>
    </w:p>
    <w:p w14:paraId="1A6A7FFC" w14:textId="77777777" w:rsidR="00750693" w:rsidRPr="00A03136" w:rsidRDefault="0075069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The results of operations of the Vendor</w:t>
      </w:r>
      <w:r w:rsidR="00E62CC3" w:rsidRPr="00A03136">
        <w:rPr>
          <w:rFonts w:ascii="Arial" w:hAnsi="Arial" w:cs="Arial"/>
          <w:sz w:val="20"/>
          <w:szCs w:val="20"/>
        </w:rPr>
        <w:t xml:space="preserve"> during the most recent year</w:t>
      </w:r>
      <w:r w:rsidRPr="00A03136">
        <w:rPr>
          <w:rFonts w:ascii="Arial" w:hAnsi="Arial" w:cs="Arial"/>
          <w:sz w:val="20"/>
          <w:szCs w:val="20"/>
        </w:rPr>
        <w:t>.</w:t>
      </w:r>
    </w:p>
    <w:p w14:paraId="02BC954E" w14:textId="77777777" w:rsidR="00E62CC3" w:rsidRPr="00A03136" w:rsidRDefault="00E62CC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Cash flow of the Vendor during the most recent year</w:t>
      </w:r>
      <w:r w:rsidR="000B557A" w:rsidRPr="00A03136">
        <w:rPr>
          <w:rFonts w:ascii="Arial" w:hAnsi="Arial" w:cs="Arial"/>
          <w:sz w:val="20"/>
          <w:szCs w:val="20"/>
        </w:rPr>
        <w:t>.</w:t>
      </w:r>
    </w:p>
    <w:p w14:paraId="17B89200" w14:textId="77777777" w:rsidR="00750693" w:rsidRPr="00A03136" w:rsidRDefault="00097D44"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Assessment of s</w:t>
      </w:r>
      <w:r w:rsidR="00750693" w:rsidRPr="00A03136">
        <w:rPr>
          <w:rFonts w:ascii="Arial" w:hAnsi="Arial" w:cs="Arial"/>
          <w:sz w:val="20"/>
          <w:szCs w:val="20"/>
        </w:rPr>
        <w:t>olvency</w:t>
      </w:r>
      <w:r w:rsidRPr="00A03136">
        <w:rPr>
          <w:rFonts w:ascii="Arial" w:hAnsi="Arial" w:cs="Arial"/>
          <w:sz w:val="20"/>
          <w:szCs w:val="20"/>
        </w:rPr>
        <w:t>,</w:t>
      </w:r>
      <w:r w:rsidR="00750693" w:rsidRPr="00A03136">
        <w:rPr>
          <w:rFonts w:ascii="Arial" w:hAnsi="Arial" w:cs="Arial"/>
          <w:sz w:val="20"/>
          <w:szCs w:val="20"/>
        </w:rPr>
        <w:t xml:space="preserve"> liquidity</w:t>
      </w:r>
      <w:r w:rsidRPr="00A03136">
        <w:rPr>
          <w:rFonts w:ascii="Arial" w:hAnsi="Arial" w:cs="Arial"/>
          <w:sz w:val="20"/>
          <w:szCs w:val="20"/>
        </w:rPr>
        <w:t>, and profitability</w:t>
      </w:r>
      <w:r w:rsidR="00750693" w:rsidRPr="00A03136">
        <w:rPr>
          <w:rFonts w:ascii="Arial" w:hAnsi="Arial" w:cs="Arial"/>
          <w:sz w:val="20"/>
          <w:szCs w:val="20"/>
        </w:rPr>
        <w:t>.</w:t>
      </w:r>
    </w:p>
    <w:p w14:paraId="1EC5DA7A" w14:textId="77777777" w:rsidR="002B0347" w:rsidRPr="00A03136" w:rsidRDefault="002B0347"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Assessment of capacity.</w:t>
      </w:r>
    </w:p>
    <w:p w14:paraId="275B47F3" w14:textId="55D55174" w:rsidR="00E62CC3" w:rsidRPr="00A03136" w:rsidRDefault="00E62CC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Disclosures regarding subsequent events, contingencies, concentrations, and litigation</w:t>
      </w:r>
      <w:r w:rsidR="000B557A" w:rsidRPr="00A03136">
        <w:rPr>
          <w:rFonts w:ascii="Arial" w:hAnsi="Arial" w:cs="Arial"/>
          <w:sz w:val="20"/>
          <w:szCs w:val="20"/>
        </w:rPr>
        <w:t>.</w:t>
      </w:r>
    </w:p>
    <w:p w14:paraId="73E3EFA5" w14:textId="089AF95F" w:rsidR="00750693" w:rsidRPr="00A03136" w:rsidRDefault="00750693" w:rsidP="006D465F">
      <w:pPr>
        <w:pStyle w:val="ListParagraph"/>
        <w:numPr>
          <w:ilvl w:val="0"/>
          <w:numId w:val="11"/>
        </w:numPr>
        <w:spacing w:after="0" w:line="240" w:lineRule="auto"/>
        <w:ind w:right="-187"/>
        <w:jc w:val="both"/>
        <w:rPr>
          <w:rFonts w:ascii="Arial" w:hAnsi="Arial" w:cs="Arial"/>
          <w:sz w:val="20"/>
          <w:szCs w:val="20"/>
        </w:rPr>
      </w:pPr>
      <w:r w:rsidRPr="00A03136">
        <w:rPr>
          <w:rFonts w:ascii="Arial" w:hAnsi="Arial" w:cs="Arial"/>
          <w:sz w:val="20"/>
          <w:szCs w:val="20"/>
        </w:rPr>
        <w:t xml:space="preserve">Any other information included in the financial statements which could </w:t>
      </w:r>
      <w:proofErr w:type="gramStart"/>
      <w:r w:rsidRPr="00A03136">
        <w:rPr>
          <w:rFonts w:ascii="Arial" w:hAnsi="Arial" w:cs="Arial"/>
          <w:sz w:val="20"/>
          <w:szCs w:val="20"/>
        </w:rPr>
        <w:t>have an effect on</w:t>
      </w:r>
      <w:proofErr w:type="gramEnd"/>
      <w:r w:rsidRPr="00A03136">
        <w:rPr>
          <w:rFonts w:ascii="Arial" w:hAnsi="Arial" w:cs="Arial"/>
          <w:sz w:val="20"/>
          <w:szCs w:val="20"/>
        </w:rPr>
        <w:t xml:space="preserve"> the financial stability and viability of the Vendor.</w:t>
      </w:r>
    </w:p>
    <w:p w14:paraId="0A6D79E4" w14:textId="57742157" w:rsidR="00750693" w:rsidRPr="00A03136" w:rsidRDefault="00750693" w:rsidP="00750693">
      <w:pPr>
        <w:pStyle w:val="ListParagraph"/>
        <w:spacing w:after="0" w:line="240" w:lineRule="auto"/>
        <w:jc w:val="both"/>
        <w:rPr>
          <w:rFonts w:ascii="Arial" w:hAnsi="Arial" w:cs="Arial"/>
          <w:sz w:val="20"/>
          <w:szCs w:val="20"/>
        </w:rPr>
      </w:pPr>
    </w:p>
    <w:p w14:paraId="24E9D780" w14:textId="7AEE8F57" w:rsidR="00E62CC3" w:rsidRPr="00A03136" w:rsidRDefault="00184E9C"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u w:val="single"/>
        </w:rPr>
        <w:t>Financial Review Pending</w:t>
      </w:r>
      <w:r w:rsidR="00E62CC3" w:rsidRPr="00A03136">
        <w:rPr>
          <w:rFonts w:ascii="Arial" w:hAnsi="Arial" w:cs="Arial"/>
          <w:sz w:val="20"/>
          <w:szCs w:val="20"/>
          <w:u w:val="single"/>
        </w:rPr>
        <w:t>.</w:t>
      </w:r>
      <w:r w:rsidR="00E62CC3" w:rsidRPr="00A03136">
        <w:rPr>
          <w:rFonts w:ascii="Arial" w:hAnsi="Arial" w:cs="Arial"/>
          <w:sz w:val="20"/>
          <w:szCs w:val="20"/>
        </w:rPr>
        <w:t xml:space="preserve"> Citizens may issue a </w:t>
      </w:r>
      <w:r w:rsidRPr="00A03136">
        <w:rPr>
          <w:rFonts w:ascii="Arial" w:hAnsi="Arial" w:cs="Arial"/>
          <w:sz w:val="20"/>
          <w:szCs w:val="20"/>
        </w:rPr>
        <w:t>Financial Review Pending status</w:t>
      </w:r>
      <w:r w:rsidR="00E62CC3" w:rsidRPr="00A03136">
        <w:rPr>
          <w:rFonts w:ascii="Arial" w:hAnsi="Arial" w:cs="Arial"/>
          <w:sz w:val="20"/>
          <w:szCs w:val="20"/>
        </w:rPr>
        <w:t xml:space="preserve"> to a Vendor while pursuing alternative or additional documentation under </w:t>
      </w:r>
      <w:r w:rsidR="00D837C9">
        <w:rPr>
          <w:rFonts w:ascii="Arial" w:hAnsi="Arial" w:cs="Arial"/>
          <w:sz w:val="20"/>
          <w:szCs w:val="20"/>
        </w:rPr>
        <w:t>Section</w:t>
      </w:r>
      <w:r w:rsidR="00E62CC3" w:rsidRPr="00A03136">
        <w:rPr>
          <w:rFonts w:ascii="Arial" w:hAnsi="Arial" w:cs="Arial"/>
          <w:sz w:val="20"/>
          <w:szCs w:val="20"/>
        </w:rPr>
        <w:t xml:space="preserve"> </w:t>
      </w:r>
      <w:r w:rsidR="006D465F" w:rsidRPr="00A03136">
        <w:rPr>
          <w:rFonts w:ascii="Arial" w:hAnsi="Arial" w:cs="Arial"/>
          <w:sz w:val="20"/>
          <w:szCs w:val="20"/>
        </w:rPr>
        <w:t>6</w:t>
      </w:r>
      <w:r w:rsidR="00E62CC3" w:rsidRPr="00A03136">
        <w:rPr>
          <w:rFonts w:ascii="Arial" w:hAnsi="Arial" w:cs="Arial"/>
          <w:sz w:val="20"/>
          <w:szCs w:val="20"/>
        </w:rPr>
        <w:t xml:space="preserve">, below.  A Vendor is eligible to advance to evaluations and negotiations after receiving a </w:t>
      </w:r>
      <w:r w:rsidRPr="00A03136">
        <w:rPr>
          <w:rFonts w:ascii="Arial" w:hAnsi="Arial" w:cs="Arial"/>
          <w:sz w:val="20"/>
          <w:szCs w:val="20"/>
        </w:rPr>
        <w:t>Financial Review Pending status</w:t>
      </w:r>
      <w:r w:rsidR="00E62CC3" w:rsidRPr="00A03136">
        <w:rPr>
          <w:rFonts w:ascii="Arial" w:hAnsi="Arial" w:cs="Arial"/>
          <w:sz w:val="20"/>
          <w:szCs w:val="20"/>
        </w:rPr>
        <w:t>; however</w:t>
      </w:r>
      <w:r w:rsidR="00D837C9">
        <w:rPr>
          <w:rFonts w:ascii="Arial" w:hAnsi="Arial" w:cs="Arial"/>
          <w:sz w:val="20"/>
          <w:szCs w:val="20"/>
        </w:rPr>
        <w:t>,</w:t>
      </w:r>
      <w:r w:rsidR="00E62CC3" w:rsidRPr="00A03136">
        <w:rPr>
          <w:rFonts w:ascii="Arial" w:hAnsi="Arial" w:cs="Arial"/>
          <w:sz w:val="20"/>
          <w:szCs w:val="20"/>
        </w:rPr>
        <w:t xml:space="preserve"> the Vendor is not eligible for award unless a </w:t>
      </w:r>
      <w:r w:rsidR="00E62CC3" w:rsidRPr="00A03136">
        <w:rPr>
          <w:rFonts w:ascii="Arial" w:hAnsi="Arial" w:cs="Arial"/>
          <w:b/>
          <w:sz w:val="20"/>
          <w:szCs w:val="20"/>
        </w:rPr>
        <w:t>PASS</w:t>
      </w:r>
      <w:r w:rsidR="00E62CC3" w:rsidRPr="00A03136">
        <w:rPr>
          <w:rFonts w:ascii="Arial" w:hAnsi="Arial" w:cs="Arial"/>
          <w:sz w:val="20"/>
          <w:szCs w:val="20"/>
        </w:rPr>
        <w:t xml:space="preserve"> determination is ultimately made by Citizens, or </w:t>
      </w:r>
      <w:r w:rsidR="003C3975" w:rsidRPr="00A03136">
        <w:rPr>
          <w:rFonts w:ascii="Arial" w:hAnsi="Arial" w:cs="Arial"/>
          <w:sz w:val="20"/>
          <w:szCs w:val="20"/>
        </w:rPr>
        <w:t>its</w:t>
      </w:r>
      <w:r w:rsidR="00E62CC3" w:rsidRPr="00A03136">
        <w:rPr>
          <w:rFonts w:ascii="Arial" w:hAnsi="Arial" w:cs="Arial"/>
          <w:sz w:val="20"/>
          <w:szCs w:val="20"/>
        </w:rPr>
        <w:t xml:space="preserve"> designee.  </w:t>
      </w:r>
    </w:p>
    <w:p w14:paraId="39FD21C4" w14:textId="2F8F6156" w:rsidR="00E62CC3" w:rsidRPr="00A03136" w:rsidRDefault="00E62CC3" w:rsidP="00E62CC3">
      <w:pPr>
        <w:pStyle w:val="ListParagraph"/>
        <w:spacing w:after="0" w:line="240" w:lineRule="auto"/>
        <w:jc w:val="both"/>
        <w:rPr>
          <w:rFonts w:ascii="Arial" w:hAnsi="Arial" w:cs="Arial"/>
          <w:sz w:val="20"/>
          <w:szCs w:val="20"/>
        </w:rPr>
      </w:pPr>
    </w:p>
    <w:p w14:paraId="3F0534FE" w14:textId="2D5F08F0" w:rsidR="00580AC7" w:rsidRPr="00A03136" w:rsidRDefault="00E62CC3" w:rsidP="006D465F">
      <w:pPr>
        <w:pStyle w:val="ListParagraph"/>
        <w:numPr>
          <w:ilvl w:val="0"/>
          <w:numId w:val="5"/>
        </w:numPr>
        <w:spacing w:after="0" w:line="240" w:lineRule="auto"/>
        <w:ind w:left="360"/>
        <w:jc w:val="both"/>
        <w:rPr>
          <w:rFonts w:ascii="Arial" w:hAnsi="Arial" w:cs="Arial"/>
          <w:sz w:val="20"/>
          <w:szCs w:val="20"/>
        </w:rPr>
      </w:pPr>
      <w:r w:rsidRPr="00A03136">
        <w:rPr>
          <w:rFonts w:ascii="Arial" w:hAnsi="Arial" w:cs="Arial"/>
          <w:sz w:val="20"/>
          <w:szCs w:val="20"/>
          <w:u w:val="single"/>
        </w:rPr>
        <w:t>Clarifications and Additional Documentation.</w:t>
      </w:r>
      <w:r w:rsidRPr="00A03136">
        <w:rPr>
          <w:rFonts w:ascii="Arial" w:hAnsi="Arial" w:cs="Arial"/>
          <w:sz w:val="20"/>
          <w:szCs w:val="20"/>
        </w:rPr>
        <w:t xml:space="preserve"> </w:t>
      </w:r>
      <w:r w:rsidR="00E670CA" w:rsidRPr="00A03136">
        <w:rPr>
          <w:rFonts w:ascii="Arial" w:hAnsi="Arial" w:cs="Arial"/>
          <w:sz w:val="20"/>
          <w:szCs w:val="20"/>
        </w:rPr>
        <w:t>Citizens, in</w:t>
      </w:r>
      <w:r w:rsidR="00D65F0E" w:rsidRPr="00A03136">
        <w:rPr>
          <w:rFonts w:ascii="Arial" w:hAnsi="Arial" w:cs="Arial"/>
          <w:sz w:val="20"/>
          <w:szCs w:val="20"/>
        </w:rPr>
        <w:t xml:space="preserve"> its discretion, may request alternative or additional documentation, or assurances, from Vendors which could assist in demonstrating financial stability and viability, including but not limited to copies of tax returns, interim and supporting accounting reports, banking records, affiliated company financial reports, or a parental guarantee.  The level of assurance and applicability of such information submitted by a Vendor will be considered by Citizens in making its PASS/FAIL determination.</w:t>
      </w:r>
    </w:p>
    <w:p w14:paraId="45CED77A" w14:textId="41B806AF" w:rsidR="00693C4F" w:rsidRPr="00A03136" w:rsidRDefault="00693C4F" w:rsidP="00693C4F">
      <w:pPr>
        <w:pStyle w:val="ListParagraph"/>
        <w:rPr>
          <w:rFonts w:ascii="Arial" w:hAnsi="Arial" w:cs="Arial"/>
          <w:sz w:val="20"/>
          <w:szCs w:val="20"/>
        </w:rPr>
      </w:pPr>
    </w:p>
    <w:p w14:paraId="76E571D0" w14:textId="77777777" w:rsidR="00D837C9" w:rsidRPr="00CD01C1" w:rsidRDefault="00D837C9" w:rsidP="00D837C9">
      <w:pPr>
        <w:spacing w:after="0" w:line="240" w:lineRule="auto"/>
        <w:rPr>
          <w:rFonts w:ascii="Arial" w:hAnsi="Arial" w:cs="Arial"/>
          <w:b/>
          <w:sz w:val="20"/>
          <w:szCs w:val="20"/>
        </w:rPr>
      </w:pPr>
      <w:r w:rsidRPr="00CD01C1">
        <w:rPr>
          <w:rFonts w:ascii="Arial" w:hAnsi="Arial" w:cs="Arial"/>
          <w:b/>
          <w:sz w:val="20"/>
          <w:szCs w:val="20"/>
        </w:rPr>
        <w:t>SUBMISSION CHECKLIST</w:t>
      </w:r>
    </w:p>
    <w:p w14:paraId="5B4C2189" w14:textId="77777777" w:rsidR="00D837C9" w:rsidRPr="00CD01C1" w:rsidRDefault="00D837C9" w:rsidP="00D837C9">
      <w:pPr>
        <w:pStyle w:val="ListParagraph"/>
        <w:spacing w:after="0" w:line="240" w:lineRule="auto"/>
        <w:ind w:left="0"/>
        <w:jc w:val="both"/>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C76523" w:rsidRPr="00CD01C1" w14:paraId="3CE880B1" w14:textId="77777777" w:rsidTr="00BD7CCC">
        <w:tc>
          <w:tcPr>
            <w:tcW w:w="9355" w:type="dxa"/>
          </w:tcPr>
          <w:p w14:paraId="78DC77B0" w14:textId="11887AE8" w:rsidR="00C76523" w:rsidRPr="004505F8" w:rsidRDefault="00C76523" w:rsidP="00BD7CCC">
            <w:pPr>
              <w:pStyle w:val="ListParagraph"/>
              <w:ind w:left="0"/>
              <w:rPr>
                <w:rFonts w:ascii="Arial" w:hAnsi="Arial" w:cs="Arial"/>
                <w:b/>
                <w:sz w:val="20"/>
                <w:szCs w:val="20"/>
              </w:rPr>
            </w:pPr>
            <w:r w:rsidRPr="004505F8">
              <w:rPr>
                <w:rFonts w:ascii="Arial" w:hAnsi="Arial" w:cs="Arial"/>
                <w:b/>
                <w:sz w:val="20"/>
                <w:szCs w:val="20"/>
              </w:rPr>
              <w:t>W-9</w:t>
            </w:r>
            <w:r>
              <w:rPr>
                <w:rFonts w:ascii="Arial" w:hAnsi="Arial" w:cs="Arial"/>
                <w:b/>
                <w:sz w:val="20"/>
                <w:szCs w:val="20"/>
              </w:rPr>
              <w:t xml:space="preserve"> </w:t>
            </w:r>
            <w:r w:rsidR="00EE368E">
              <w:rPr>
                <w:rFonts w:ascii="Arial" w:hAnsi="Arial" w:cs="Arial"/>
                <w:b/>
                <w:sz w:val="20"/>
                <w:szCs w:val="20"/>
              </w:rPr>
              <w:t xml:space="preserve">or W-8 </w:t>
            </w:r>
            <w:r>
              <w:rPr>
                <w:rFonts w:ascii="Arial" w:hAnsi="Arial" w:cs="Arial"/>
                <w:b/>
                <w:sz w:val="20"/>
                <w:szCs w:val="20"/>
              </w:rPr>
              <w:t>Form</w:t>
            </w:r>
          </w:p>
        </w:tc>
      </w:tr>
      <w:tr w:rsidR="00C76523" w:rsidRPr="00CD01C1" w14:paraId="47C9AC7A" w14:textId="77777777" w:rsidTr="00BD7CCC">
        <w:tc>
          <w:tcPr>
            <w:tcW w:w="9355" w:type="dxa"/>
          </w:tcPr>
          <w:p w14:paraId="3E9DD38D" w14:textId="77777777" w:rsidR="00C76523" w:rsidRPr="004505F8" w:rsidRDefault="00C76523" w:rsidP="00BD7CCC">
            <w:pPr>
              <w:pStyle w:val="ListParagraph"/>
              <w:ind w:left="0"/>
              <w:rPr>
                <w:rFonts w:ascii="Arial" w:hAnsi="Arial" w:cs="Arial"/>
                <w:b/>
                <w:sz w:val="20"/>
                <w:szCs w:val="20"/>
              </w:rPr>
            </w:pPr>
            <w:r w:rsidRPr="004505F8">
              <w:rPr>
                <w:rFonts w:ascii="Arial" w:hAnsi="Arial" w:cs="Arial"/>
                <w:b/>
                <w:sz w:val="20"/>
                <w:szCs w:val="20"/>
              </w:rPr>
              <w:t>Complete Financial Statements for the Most Recent Fiscal Year.</w:t>
            </w:r>
            <w:r>
              <w:rPr>
                <w:rFonts w:ascii="Arial" w:hAnsi="Arial" w:cs="Arial"/>
                <w:b/>
                <w:sz w:val="20"/>
                <w:szCs w:val="20"/>
              </w:rPr>
              <w:t xml:space="preserve"> </w:t>
            </w:r>
            <w:r w:rsidRPr="004505F8">
              <w:rPr>
                <w:rFonts w:ascii="Arial" w:hAnsi="Arial" w:cs="Arial"/>
                <w:b/>
                <w:sz w:val="20"/>
                <w:szCs w:val="20"/>
              </w:rPr>
              <w:t xml:space="preserve">Financial </w:t>
            </w:r>
            <w:r>
              <w:rPr>
                <w:rFonts w:ascii="Arial" w:hAnsi="Arial" w:cs="Arial"/>
                <w:b/>
                <w:sz w:val="20"/>
                <w:szCs w:val="20"/>
              </w:rPr>
              <w:t>S</w:t>
            </w:r>
            <w:r w:rsidRPr="004505F8">
              <w:rPr>
                <w:rFonts w:ascii="Arial" w:hAnsi="Arial" w:cs="Arial"/>
                <w:b/>
                <w:sz w:val="20"/>
                <w:szCs w:val="20"/>
              </w:rPr>
              <w:t xml:space="preserve">tatements </w:t>
            </w:r>
            <w:r>
              <w:rPr>
                <w:rFonts w:ascii="Arial" w:hAnsi="Arial" w:cs="Arial"/>
                <w:b/>
                <w:sz w:val="20"/>
                <w:szCs w:val="20"/>
              </w:rPr>
              <w:t>s</w:t>
            </w:r>
            <w:r w:rsidRPr="004505F8">
              <w:rPr>
                <w:rFonts w:ascii="Arial" w:hAnsi="Arial" w:cs="Arial"/>
                <w:b/>
                <w:sz w:val="20"/>
                <w:szCs w:val="20"/>
              </w:rPr>
              <w:t>hould Include:</w:t>
            </w:r>
          </w:p>
        </w:tc>
      </w:tr>
      <w:tr w:rsidR="00C76523" w:rsidRPr="00CD01C1" w14:paraId="48C53147" w14:textId="77777777" w:rsidTr="00BD7CCC">
        <w:tc>
          <w:tcPr>
            <w:tcW w:w="9355" w:type="dxa"/>
          </w:tcPr>
          <w:p w14:paraId="1EEA9F83" w14:textId="77777777" w:rsidR="00C76523" w:rsidRPr="004505F8" w:rsidRDefault="00C76523" w:rsidP="00BD7CCC">
            <w:pPr>
              <w:pStyle w:val="ListParagraph"/>
              <w:numPr>
                <w:ilvl w:val="0"/>
                <w:numId w:val="12"/>
              </w:numPr>
              <w:rPr>
                <w:rFonts w:ascii="Arial" w:hAnsi="Arial" w:cs="Arial"/>
                <w:sz w:val="20"/>
                <w:szCs w:val="20"/>
              </w:rPr>
            </w:pPr>
            <w:r w:rsidRPr="004505F8">
              <w:rPr>
                <w:rFonts w:ascii="Arial" w:hAnsi="Arial" w:cs="Arial"/>
                <w:sz w:val="20"/>
                <w:szCs w:val="20"/>
              </w:rPr>
              <w:t>Balance Sheet</w:t>
            </w:r>
          </w:p>
          <w:p w14:paraId="29F61A3D" w14:textId="77777777" w:rsidR="00C76523" w:rsidRDefault="00C76523" w:rsidP="00BD7CCC">
            <w:pPr>
              <w:pStyle w:val="ListParagraph"/>
              <w:numPr>
                <w:ilvl w:val="0"/>
                <w:numId w:val="12"/>
              </w:numPr>
              <w:jc w:val="both"/>
              <w:rPr>
                <w:rFonts w:ascii="Arial" w:hAnsi="Arial" w:cs="Arial"/>
                <w:sz w:val="20"/>
                <w:szCs w:val="20"/>
              </w:rPr>
            </w:pPr>
            <w:r w:rsidRPr="006D7EF8">
              <w:rPr>
                <w:rFonts w:ascii="Arial" w:hAnsi="Arial" w:cs="Arial"/>
                <w:sz w:val="20"/>
                <w:szCs w:val="20"/>
              </w:rPr>
              <w:t>Income Statement</w:t>
            </w:r>
          </w:p>
          <w:p w14:paraId="61597218" w14:textId="77777777" w:rsidR="00C76523" w:rsidRPr="006D7EF8" w:rsidRDefault="00C76523" w:rsidP="00BD7CCC">
            <w:pPr>
              <w:pStyle w:val="ListParagraph"/>
              <w:numPr>
                <w:ilvl w:val="0"/>
                <w:numId w:val="12"/>
              </w:numPr>
              <w:jc w:val="both"/>
              <w:rPr>
                <w:rFonts w:ascii="Arial" w:hAnsi="Arial" w:cs="Arial"/>
                <w:sz w:val="20"/>
                <w:szCs w:val="20"/>
              </w:rPr>
            </w:pPr>
            <w:r w:rsidRPr="006D7EF8">
              <w:rPr>
                <w:rFonts w:ascii="Arial" w:hAnsi="Arial" w:cs="Arial"/>
                <w:sz w:val="20"/>
                <w:szCs w:val="20"/>
              </w:rPr>
              <w:t>Statement of Owners Equity</w:t>
            </w:r>
          </w:p>
          <w:p w14:paraId="3F7AFE0D" w14:textId="77777777" w:rsidR="00C76523" w:rsidRDefault="00C76523" w:rsidP="00BD7CCC">
            <w:pPr>
              <w:pStyle w:val="ListParagraph"/>
              <w:numPr>
                <w:ilvl w:val="0"/>
                <w:numId w:val="12"/>
              </w:numPr>
              <w:jc w:val="both"/>
              <w:rPr>
                <w:rFonts w:ascii="Arial" w:hAnsi="Arial" w:cs="Arial"/>
                <w:sz w:val="20"/>
                <w:szCs w:val="20"/>
              </w:rPr>
            </w:pPr>
            <w:r w:rsidRPr="004505F8">
              <w:rPr>
                <w:rFonts w:ascii="Arial" w:hAnsi="Arial" w:cs="Arial"/>
                <w:sz w:val="20"/>
                <w:szCs w:val="20"/>
              </w:rPr>
              <w:t>Statement of Cash Flows</w:t>
            </w:r>
          </w:p>
          <w:p w14:paraId="6C7111CF" w14:textId="77777777" w:rsidR="00C76523" w:rsidRPr="004505F8" w:rsidRDefault="00C76523" w:rsidP="00BD7CCC">
            <w:pPr>
              <w:pStyle w:val="ListParagraph"/>
              <w:numPr>
                <w:ilvl w:val="0"/>
                <w:numId w:val="12"/>
              </w:numPr>
              <w:jc w:val="both"/>
              <w:rPr>
                <w:rFonts w:ascii="Arial" w:hAnsi="Arial" w:cs="Arial"/>
                <w:sz w:val="20"/>
                <w:szCs w:val="20"/>
              </w:rPr>
            </w:pPr>
            <w:r>
              <w:rPr>
                <w:rFonts w:ascii="Arial" w:hAnsi="Arial" w:cs="Arial"/>
                <w:sz w:val="20"/>
                <w:szCs w:val="20"/>
              </w:rPr>
              <w:t>Accompanying Note Disclosures</w:t>
            </w:r>
          </w:p>
        </w:tc>
      </w:tr>
      <w:tr w:rsidR="00C76523" w:rsidRPr="00CD01C1" w14:paraId="3697F663" w14:textId="77777777" w:rsidTr="00BD7CCC">
        <w:tc>
          <w:tcPr>
            <w:tcW w:w="9355" w:type="dxa"/>
          </w:tcPr>
          <w:p w14:paraId="50004D07" w14:textId="77777777" w:rsidR="00C76523" w:rsidRPr="004505F8" w:rsidRDefault="00C76523" w:rsidP="00BD7CCC">
            <w:pPr>
              <w:pStyle w:val="ListParagraph"/>
              <w:ind w:left="0"/>
              <w:rPr>
                <w:rFonts w:ascii="Arial" w:hAnsi="Arial" w:cs="Arial"/>
                <w:b/>
                <w:sz w:val="20"/>
                <w:szCs w:val="20"/>
              </w:rPr>
            </w:pPr>
            <w:r w:rsidRPr="004505F8">
              <w:rPr>
                <w:rFonts w:ascii="Arial" w:hAnsi="Arial" w:cs="Arial"/>
                <w:b/>
                <w:sz w:val="20"/>
                <w:szCs w:val="20"/>
              </w:rPr>
              <w:t>Redacted Financial Information</w:t>
            </w:r>
            <w:r>
              <w:rPr>
                <w:rFonts w:ascii="Arial" w:hAnsi="Arial" w:cs="Arial"/>
                <w:b/>
                <w:sz w:val="20"/>
                <w:szCs w:val="20"/>
              </w:rPr>
              <w:t xml:space="preserve"> - Refer to</w:t>
            </w:r>
            <w:r w:rsidRPr="004505F8">
              <w:rPr>
                <w:rFonts w:ascii="Arial" w:hAnsi="Arial" w:cs="Arial"/>
                <w:b/>
                <w:sz w:val="20"/>
                <w:szCs w:val="20"/>
              </w:rPr>
              <w:t xml:space="preserve"> Secti</w:t>
            </w:r>
            <w:r w:rsidRPr="007C5405">
              <w:rPr>
                <w:rFonts w:ascii="Arial" w:hAnsi="Arial" w:cs="Arial"/>
                <w:b/>
                <w:sz w:val="20"/>
                <w:szCs w:val="20"/>
              </w:rPr>
              <w:t xml:space="preserve">on 3.3 </w:t>
            </w:r>
            <w:r w:rsidRPr="004505F8">
              <w:rPr>
                <w:rFonts w:ascii="Arial" w:hAnsi="Arial" w:cs="Arial"/>
                <w:b/>
                <w:sz w:val="20"/>
                <w:szCs w:val="20"/>
              </w:rPr>
              <w:t>of the Solicitation</w:t>
            </w:r>
          </w:p>
        </w:tc>
      </w:tr>
    </w:tbl>
    <w:p w14:paraId="6648189F" w14:textId="77777777" w:rsidR="00D837C9" w:rsidRPr="00A03136" w:rsidRDefault="00D837C9" w:rsidP="00BB0A83">
      <w:pPr>
        <w:spacing w:after="0" w:line="240" w:lineRule="auto"/>
        <w:rPr>
          <w:rFonts w:ascii="Arial" w:hAnsi="Arial" w:cs="Arial"/>
          <w:b/>
          <w:sz w:val="20"/>
          <w:szCs w:val="20"/>
        </w:rPr>
      </w:pPr>
    </w:p>
    <w:sectPr w:rsidR="00D837C9" w:rsidRPr="00A03136" w:rsidSect="00727E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8EA47" w14:textId="77777777" w:rsidR="00BB3ADD" w:rsidRDefault="00BB3ADD" w:rsidP="00BB3ADD">
      <w:pPr>
        <w:spacing w:after="0" w:line="240" w:lineRule="auto"/>
      </w:pPr>
      <w:r>
        <w:separator/>
      </w:r>
    </w:p>
  </w:endnote>
  <w:endnote w:type="continuationSeparator" w:id="0">
    <w:p w14:paraId="34501033" w14:textId="77777777" w:rsidR="00BB3ADD" w:rsidRDefault="00BB3ADD" w:rsidP="00BB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4E81" w14:textId="0959D74E" w:rsidR="00BB3ADD" w:rsidRDefault="00BB3ADD" w:rsidP="00BB3ADD">
    <w:pPr>
      <w:pStyle w:val="Footer"/>
    </w:pPr>
    <w:r>
      <w:t>Version 1.</w:t>
    </w:r>
    <w:r w:rsidR="00EE368E">
      <w:t>3</w:t>
    </w:r>
    <w:r>
      <w:ptab w:relativeTo="margin" w:alignment="center" w:leader="none"/>
    </w:r>
    <w:r w:rsidR="00EE368E">
      <w:t>6/26/2020</w:t>
    </w:r>
    <w:r>
      <w:ptab w:relativeTo="margin" w:alignment="right" w:leader="none"/>
    </w:r>
    <w:sdt>
      <w:sdtPr>
        <w:id w:val="28184485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90D6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D67">
          <w:rPr>
            <w:b/>
            <w:bCs/>
            <w:noProof/>
          </w:rPr>
          <w:t>3</w:t>
        </w:r>
        <w:r>
          <w:rPr>
            <w:b/>
            <w:bCs/>
            <w:sz w:val="24"/>
            <w:szCs w:val="24"/>
          </w:rPr>
          <w:fldChar w:fldCharType="end"/>
        </w:r>
      </w:sdtContent>
    </w:sdt>
    <w:r>
      <w:t xml:space="preserve"> </w:t>
    </w:r>
  </w:p>
  <w:p w14:paraId="0AA910A2" w14:textId="337BFE52" w:rsidR="00BB3ADD" w:rsidRDefault="00BB3ADD">
    <w:pPr>
      <w:pStyle w:val="Footer"/>
    </w:pPr>
  </w:p>
  <w:p w14:paraId="36D85699" w14:textId="77777777" w:rsidR="00E949ED" w:rsidRDefault="00E9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D1D6C" w14:textId="77777777" w:rsidR="00BB3ADD" w:rsidRDefault="00BB3ADD" w:rsidP="00BB3ADD">
      <w:pPr>
        <w:spacing w:after="0" w:line="240" w:lineRule="auto"/>
      </w:pPr>
      <w:r>
        <w:separator/>
      </w:r>
    </w:p>
  </w:footnote>
  <w:footnote w:type="continuationSeparator" w:id="0">
    <w:p w14:paraId="142D7A29" w14:textId="77777777" w:rsidR="00BB3ADD" w:rsidRDefault="00BB3ADD" w:rsidP="00BB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4F83" w14:textId="15BA2F1F" w:rsidR="00197AAA" w:rsidRPr="007C5405" w:rsidRDefault="007C5405" w:rsidP="00197AAA">
    <w:pPr>
      <w:pStyle w:val="Header"/>
      <w:jc w:val="center"/>
      <w:rPr>
        <w:rFonts w:ascii="Arial" w:hAnsi="Arial" w:cs="Arial"/>
        <w:b/>
        <w:sz w:val="24"/>
        <w:szCs w:val="24"/>
      </w:rPr>
    </w:pPr>
    <w:proofErr w:type="spellStart"/>
    <w:r w:rsidRPr="007C5405">
      <w:rPr>
        <w:rFonts w:ascii="Arial" w:hAnsi="Arial" w:cs="Arial"/>
        <w:b/>
        <w:sz w:val="24"/>
        <w:szCs w:val="24"/>
      </w:rPr>
      <w:t>ITN</w:t>
    </w:r>
    <w:proofErr w:type="spellEnd"/>
    <w:r w:rsidR="00197AAA" w:rsidRPr="007C5405">
      <w:rPr>
        <w:rFonts w:ascii="Arial" w:hAnsi="Arial" w:cs="Arial"/>
        <w:b/>
        <w:sz w:val="24"/>
        <w:szCs w:val="24"/>
      </w:rPr>
      <w:t xml:space="preserve"> No. </w:t>
    </w:r>
    <w:r w:rsidRPr="007C5405">
      <w:rPr>
        <w:rFonts w:ascii="Arial" w:hAnsi="Arial" w:cs="Arial"/>
        <w:b/>
        <w:sz w:val="24"/>
        <w:szCs w:val="24"/>
      </w:rPr>
      <w:t>20-0030</w:t>
    </w:r>
    <w:r w:rsidR="00197AAA" w:rsidRPr="007C5405">
      <w:rPr>
        <w:rFonts w:ascii="Arial" w:hAnsi="Arial" w:cs="Arial"/>
        <w:b/>
        <w:sz w:val="24"/>
        <w:szCs w:val="24"/>
      </w:rPr>
      <w:t xml:space="preserve">, </w:t>
    </w:r>
    <w:r w:rsidRPr="007C5405">
      <w:rPr>
        <w:rFonts w:ascii="Arial" w:hAnsi="Arial" w:cs="Arial"/>
        <w:b/>
        <w:sz w:val="24"/>
        <w:szCs w:val="24"/>
      </w:rPr>
      <w:t>Catastrophe Modeling Software Services</w:t>
    </w:r>
  </w:p>
  <w:p w14:paraId="091E02AD" w14:textId="678E469B" w:rsidR="00197AAA" w:rsidRPr="007C5405" w:rsidRDefault="00197AAA" w:rsidP="00197AAA">
    <w:pPr>
      <w:pStyle w:val="Header"/>
      <w:jc w:val="center"/>
      <w:rPr>
        <w:rFonts w:ascii="Arial" w:hAnsi="Arial" w:cs="Arial"/>
        <w:b/>
        <w:sz w:val="24"/>
        <w:szCs w:val="24"/>
      </w:rPr>
    </w:pPr>
    <w:r w:rsidRPr="007C5405">
      <w:rPr>
        <w:rFonts w:ascii="Arial" w:hAnsi="Arial" w:cs="Arial"/>
        <w:b/>
        <w:sz w:val="24"/>
        <w:szCs w:val="24"/>
      </w:rPr>
      <w:t xml:space="preserve">Attachment </w:t>
    </w:r>
    <w:r w:rsidR="007C5405" w:rsidRPr="007C5405">
      <w:rPr>
        <w:rFonts w:ascii="Arial" w:hAnsi="Arial" w:cs="Arial"/>
        <w:b/>
        <w:sz w:val="24"/>
        <w:szCs w:val="24"/>
      </w:rPr>
      <w:t>C</w:t>
    </w:r>
    <w:r w:rsidRPr="007C5405">
      <w:rPr>
        <w:rFonts w:ascii="Arial" w:hAnsi="Arial" w:cs="Arial"/>
        <w:b/>
        <w:sz w:val="24"/>
        <w:szCs w:val="24"/>
      </w:rPr>
      <w:t xml:space="preserve">: Financial Review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B7FAA"/>
    <w:multiLevelType w:val="hybridMultilevel"/>
    <w:tmpl w:val="EA76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D3BA8"/>
    <w:multiLevelType w:val="hybridMultilevel"/>
    <w:tmpl w:val="82A443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805A73"/>
    <w:multiLevelType w:val="hybridMultilevel"/>
    <w:tmpl w:val="6B48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B431F"/>
    <w:multiLevelType w:val="hybridMultilevel"/>
    <w:tmpl w:val="86A61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E83A7B"/>
    <w:multiLevelType w:val="hybridMultilevel"/>
    <w:tmpl w:val="623C2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BD76AE"/>
    <w:multiLevelType w:val="hybridMultilevel"/>
    <w:tmpl w:val="C3DC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387BA5"/>
    <w:multiLevelType w:val="hybridMultilevel"/>
    <w:tmpl w:val="D17652BC"/>
    <w:lvl w:ilvl="0" w:tplc="F3DA7B5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258A8"/>
    <w:multiLevelType w:val="hybridMultilevel"/>
    <w:tmpl w:val="C3DC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BA57AD"/>
    <w:multiLevelType w:val="hybridMultilevel"/>
    <w:tmpl w:val="B420B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B80ECE"/>
    <w:multiLevelType w:val="hybridMultilevel"/>
    <w:tmpl w:val="C3DC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BB2FA5"/>
    <w:multiLevelType w:val="hybridMultilevel"/>
    <w:tmpl w:val="B0F41F1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764D25"/>
    <w:multiLevelType w:val="hybridMultilevel"/>
    <w:tmpl w:val="A3FC7A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4"/>
  </w:num>
  <w:num w:numId="4">
    <w:abstractNumId w:val="8"/>
  </w:num>
  <w:num w:numId="5">
    <w:abstractNumId w:val="6"/>
  </w:num>
  <w:num w:numId="6">
    <w:abstractNumId w:val="5"/>
  </w:num>
  <w:num w:numId="7">
    <w:abstractNumId w:val="2"/>
  </w:num>
  <w:num w:numId="8">
    <w:abstractNumId w:val="10"/>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90"/>
    <w:rsid w:val="000069D5"/>
    <w:rsid w:val="00012E50"/>
    <w:rsid w:val="00052F13"/>
    <w:rsid w:val="00093DAE"/>
    <w:rsid w:val="00097B19"/>
    <w:rsid w:val="00097D44"/>
    <w:rsid w:val="000B557A"/>
    <w:rsid w:val="000E5588"/>
    <w:rsid w:val="000E613C"/>
    <w:rsid w:val="00145DAA"/>
    <w:rsid w:val="00176F7D"/>
    <w:rsid w:val="00184E9C"/>
    <w:rsid w:val="00190D67"/>
    <w:rsid w:val="00197AAA"/>
    <w:rsid w:val="001A093A"/>
    <w:rsid w:val="001B6D0C"/>
    <w:rsid w:val="002B0347"/>
    <w:rsid w:val="002C5459"/>
    <w:rsid w:val="003005CF"/>
    <w:rsid w:val="0033477E"/>
    <w:rsid w:val="00343711"/>
    <w:rsid w:val="0036371B"/>
    <w:rsid w:val="00393E21"/>
    <w:rsid w:val="003C28CA"/>
    <w:rsid w:val="003C3975"/>
    <w:rsid w:val="003D2FC6"/>
    <w:rsid w:val="003E1AC6"/>
    <w:rsid w:val="004056B2"/>
    <w:rsid w:val="004062EB"/>
    <w:rsid w:val="00446636"/>
    <w:rsid w:val="00474EDD"/>
    <w:rsid w:val="00476215"/>
    <w:rsid w:val="004A0A3B"/>
    <w:rsid w:val="004A2AA2"/>
    <w:rsid w:val="004D015F"/>
    <w:rsid w:val="004F569A"/>
    <w:rsid w:val="00500892"/>
    <w:rsid w:val="005016CF"/>
    <w:rsid w:val="005062E5"/>
    <w:rsid w:val="005073EC"/>
    <w:rsid w:val="00525F5A"/>
    <w:rsid w:val="00526C20"/>
    <w:rsid w:val="00542056"/>
    <w:rsid w:val="00580AC7"/>
    <w:rsid w:val="005B3324"/>
    <w:rsid w:val="005B5397"/>
    <w:rsid w:val="005B6E74"/>
    <w:rsid w:val="005B7332"/>
    <w:rsid w:val="005D3F2D"/>
    <w:rsid w:val="005E04FC"/>
    <w:rsid w:val="005E1B5B"/>
    <w:rsid w:val="005E5B78"/>
    <w:rsid w:val="005F4287"/>
    <w:rsid w:val="00605681"/>
    <w:rsid w:val="00610791"/>
    <w:rsid w:val="00640480"/>
    <w:rsid w:val="006814EF"/>
    <w:rsid w:val="00693C4F"/>
    <w:rsid w:val="006D465F"/>
    <w:rsid w:val="006E418C"/>
    <w:rsid w:val="006F46C6"/>
    <w:rsid w:val="00727E8C"/>
    <w:rsid w:val="00734C46"/>
    <w:rsid w:val="00744902"/>
    <w:rsid w:val="00750693"/>
    <w:rsid w:val="00760598"/>
    <w:rsid w:val="00782373"/>
    <w:rsid w:val="007B400B"/>
    <w:rsid w:val="007C5405"/>
    <w:rsid w:val="00840455"/>
    <w:rsid w:val="00850B3B"/>
    <w:rsid w:val="008556B8"/>
    <w:rsid w:val="00860807"/>
    <w:rsid w:val="00894260"/>
    <w:rsid w:val="008A63C7"/>
    <w:rsid w:val="008A76CF"/>
    <w:rsid w:val="008B141A"/>
    <w:rsid w:val="008D427F"/>
    <w:rsid w:val="008E194D"/>
    <w:rsid w:val="008F5FC4"/>
    <w:rsid w:val="0090776A"/>
    <w:rsid w:val="00926011"/>
    <w:rsid w:val="00927C1F"/>
    <w:rsid w:val="00962E60"/>
    <w:rsid w:val="009D1114"/>
    <w:rsid w:val="009D4626"/>
    <w:rsid w:val="009F79A6"/>
    <w:rsid w:val="00A03136"/>
    <w:rsid w:val="00A65563"/>
    <w:rsid w:val="00A87D4A"/>
    <w:rsid w:val="00AC0184"/>
    <w:rsid w:val="00AC1111"/>
    <w:rsid w:val="00B27FB7"/>
    <w:rsid w:val="00B378EC"/>
    <w:rsid w:val="00B63A9C"/>
    <w:rsid w:val="00B77E2A"/>
    <w:rsid w:val="00B84B0F"/>
    <w:rsid w:val="00BB0A83"/>
    <w:rsid w:val="00BB3ADD"/>
    <w:rsid w:val="00BB6A90"/>
    <w:rsid w:val="00BC20CB"/>
    <w:rsid w:val="00C25ADD"/>
    <w:rsid w:val="00C62670"/>
    <w:rsid w:val="00C76523"/>
    <w:rsid w:val="00C94750"/>
    <w:rsid w:val="00CA5FC8"/>
    <w:rsid w:val="00CC42D4"/>
    <w:rsid w:val="00D06B5B"/>
    <w:rsid w:val="00D25599"/>
    <w:rsid w:val="00D528D6"/>
    <w:rsid w:val="00D65F0E"/>
    <w:rsid w:val="00D70901"/>
    <w:rsid w:val="00D76863"/>
    <w:rsid w:val="00D837C9"/>
    <w:rsid w:val="00DA7C84"/>
    <w:rsid w:val="00DB04C0"/>
    <w:rsid w:val="00DB14FD"/>
    <w:rsid w:val="00E00FF5"/>
    <w:rsid w:val="00E463C9"/>
    <w:rsid w:val="00E528DF"/>
    <w:rsid w:val="00E62CC3"/>
    <w:rsid w:val="00E670CA"/>
    <w:rsid w:val="00E949ED"/>
    <w:rsid w:val="00ED2386"/>
    <w:rsid w:val="00ED32BA"/>
    <w:rsid w:val="00EE368E"/>
    <w:rsid w:val="00EE7E4C"/>
    <w:rsid w:val="00F0650A"/>
    <w:rsid w:val="00F606DE"/>
    <w:rsid w:val="00F637FB"/>
    <w:rsid w:val="00F9678F"/>
    <w:rsid w:val="00FD5DCD"/>
    <w:rsid w:val="00FF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1A2D"/>
  <w15:docId w15:val="{0DB7391E-3FE0-40F0-8653-3C900FD6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6CF"/>
    <w:pPr>
      <w:ind w:left="720"/>
      <w:contextualSpacing/>
    </w:pPr>
  </w:style>
  <w:style w:type="paragraph" w:styleId="BalloonText">
    <w:name w:val="Balloon Text"/>
    <w:basedOn w:val="Normal"/>
    <w:link w:val="BalloonTextChar"/>
    <w:uiPriority w:val="99"/>
    <w:semiHidden/>
    <w:unhideWhenUsed/>
    <w:rsid w:val="00C9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50"/>
    <w:rPr>
      <w:rFonts w:ascii="Tahoma" w:hAnsi="Tahoma" w:cs="Tahoma"/>
      <w:sz w:val="16"/>
      <w:szCs w:val="16"/>
    </w:rPr>
  </w:style>
  <w:style w:type="character" w:styleId="Hyperlink">
    <w:name w:val="Hyperlink"/>
    <w:basedOn w:val="DefaultParagraphFont"/>
    <w:uiPriority w:val="99"/>
    <w:unhideWhenUsed/>
    <w:rsid w:val="001B6D0C"/>
    <w:rPr>
      <w:color w:val="0000FF" w:themeColor="hyperlink"/>
      <w:u w:val="single"/>
    </w:rPr>
  </w:style>
  <w:style w:type="character" w:styleId="CommentReference">
    <w:name w:val="annotation reference"/>
    <w:basedOn w:val="DefaultParagraphFont"/>
    <w:uiPriority w:val="99"/>
    <w:semiHidden/>
    <w:unhideWhenUsed/>
    <w:rsid w:val="001B6D0C"/>
    <w:rPr>
      <w:sz w:val="16"/>
      <w:szCs w:val="16"/>
    </w:rPr>
  </w:style>
  <w:style w:type="paragraph" w:styleId="CommentText">
    <w:name w:val="annotation text"/>
    <w:basedOn w:val="Normal"/>
    <w:link w:val="CommentTextChar"/>
    <w:uiPriority w:val="99"/>
    <w:semiHidden/>
    <w:unhideWhenUsed/>
    <w:rsid w:val="001B6D0C"/>
    <w:pPr>
      <w:spacing w:line="240" w:lineRule="auto"/>
    </w:pPr>
    <w:rPr>
      <w:sz w:val="20"/>
      <w:szCs w:val="20"/>
    </w:rPr>
  </w:style>
  <w:style w:type="character" w:customStyle="1" w:styleId="CommentTextChar">
    <w:name w:val="Comment Text Char"/>
    <w:basedOn w:val="DefaultParagraphFont"/>
    <w:link w:val="CommentText"/>
    <w:uiPriority w:val="99"/>
    <w:semiHidden/>
    <w:rsid w:val="001B6D0C"/>
    <w:rPr>
      <w:sz w:val="20"/>
      <w:szCs w:val="20"/>
    </w:rPr>
  </w:style>
  <w:style w:type="table" w:styleId="TableGrid">
    <w:name w:val="Table Grid"/>
    <w:basedOn w:val="TableNormal"/>
    <w:uiPriority w:val="59"/>
    <w:rsid w:val="00BB0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ADD"/>
  </w:style>
  <w:style w:type="paragraph" w:styleId="Footer">
    <w:name w:val="footer"/>
    <w:basedOn w:val="Normal"/>
    <w:link w:val="FooterChar"/>
    <w:uiPriority w:val="99"/>
    <w:unhideWhenUsed/>
    <w:rsid w:val="00BB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rs.gov/Form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398ED-5D5A-42AD-A017-D7B61684EFC4}">
  <ds:schemaRefs>
    <ds:schemaRef ds:uri="http://schemas.openxmlformats.org/officeDocument/2006/bibliography"/>
  </ds:schemaRefs>
</ds:datastoreItem>
</file>

<file path=customXml/itemProps2.xml><?xml version="1.0" encoding="utf-8"?>
<ds:datastoreItem xmlns:ds="http://schemas.openxmlformats.org/officeDocument/2006/customXml" ds:itemID="{26C00258-500F-418A-BA88-15906286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Whitney</dc:creator>
  <cp:lastModifiedBy>Leslie Williams</cp:lastModifiedBy>
  <cp:revision>7</cp:revision>
  <cp:lastPrinted>2014-07-18T15:33:00Z</cp:lastPrinted>
  <dcterms:created xsi:type="dcterms:W3CDTF">2019-04-09T12:54:00Z</dcterms:created>
  <dcterms:modified xsi:type="dcterms:W3CDTF">2020-09-24T17:25:00Z</dcterms:modified>
</cp:coreProperties>
</file>